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TravelOps Corporate Travel &amp; Expense</w:t>
      </w:r>
    </w:p>
    <w:p>
      <w:r>
        <w:t>DEC-601: Committee agreed that FR-103 manager approvals must support Slack interactive messages for faster travel authorizations.</w:t>
      </w:r>
    </w:p>
    <w:p>
      <w:r>
        <w:t>DEC-602: Security lead decided that FR-109 password recovery practice must be revoked and replaced with self-service password reset.</w:t>
      </w:r>
    </w:p>
    <w:p>
      <w:r>
        <w:t>DEC-603: The team discussed faster approvals but did not define the meaning or implementation specifications for the system.</w:t>
      </w:r>
    </w:p>
    <w:p>
      <w:r>
        <w:t>DEC-604: Finance director confirmed that FR-108 bank reconciliation must run daily at 01:00 AM UTC against corporate bank SFTP.</w:t>
      </w:r>
    </w:p>
    <w:p>
      <w:r>
        <w:t>DEC-605: Architecture team confirmed that FR-107 RBAC permission rules must undergo mandatory quarterly access reviews.</w:t>
      </w:r>
    </w:p>
    <w:p>
      <w:r>
        <w:t>DEC-606: QA team agreed that TC-409 concurrency load test must be executed on a dedicated staging environment replicating production.</w:t>
      </w:r>
    </w:p>
    <w:p>
      <w:r>
        <w:t>DEC-607: Corporate facilities manager decided to procure 40 ergonomic mesh chairs for corporate travel coordinators.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