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Operational Needs — NovaTransit Fleet Intelligence</w:t>
      </w:r>
    </w:p>
    <w:p>
      <w:r>
        <w:t>RQ-001: The transit operations platform shall ingest and stream real-time bus location telemetry coordinates.</w:t>
      </w:r>
    </w:p>
    <w:p>
      <w:r>
        <w:t>RQ-002: The dispatch system shall optimize driver shift schedules based on historical passenger demand.</w:t>
      </w:r>
    </w:p>
    <w:p>
      <w:r>
        <w:t>RQ-003: The safety subsystem shall execute emergency vehicle deceleration upon forward collision radar alert.</w:t>
      </w:r>
    </w:p>
    <w:p>
      <w:r>
        <w:t>RQ-004: The compliance reporter shall archive daily route logs and export transit agency audit certificates.</w:t>
      </w:r>
    </w:p>
    <w:p>
      <w:r>
        <w:t>RQ-005: The payment gateway shall process contactless fare payments and issue digital receipts.</w:t>
      </w:r>
    </w:p>
    <w:p>
      <w:r>
        <w:t>RQ-006: The platform shall authenticate transit dispatchers using smartcard biometric credentials.</w:t>
      </w:r>
    </w:p>
    <w:p>
      <w:r>
        <w:t>RQ-007: The garage manager shall schedule bus tire rotation and brake pad maintenance work orders.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