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Specification — NovaTransit Core Architecture</w:t>
      </w:r>
    </w:p>
    <w:p>
      <w:r>
        <w:t>FN-101: The telemetry ingestion service shall parse and stream GPS NMEA coordinates from on-board bus units.</w:t>
      </w:r>
    </w:p>
    <w:p>
      <w:r>
        <w:t>FN-102: The telemetry console displays bus coordinates and headway metrics on dispatcher web UI.</w:t>
      </w:r>
    </w:p>
    <w:p>
      <w:r>
        <w:t>FN-103: The dispatch engine shall execute genetic schedule optimization algorithm for driver shift assignment.</w:t>
      </w:r>
    </w:p>
    <w:p>
      <w:r>
        <w:t>FN-104: The collision avoidance controller triggers emergency braking and halts vehicle traction when obstacle distance falls below threshold.</w:t>
      </w:r>
    </w:p>
    <w:p>
      <w:r>
        <w:t>FN-105: The audit manager archives route telemetry history and downloads regulatory compliance verification records.</w:t>
      </w:r>
    </w:p>
    <w:p>
      <w:r>
        <w:t>FN-106: Fare transaction records shall be stored with reversible XOR encryption for legacy terminal compatibility.</w:t>
      </w:r>
    </w:p>
    <w:p>
      <w:r>
        <w:t>FN-107: The dispatch portal shall authenticate authorized supervisors via smartcard credentials.</w:t>
      </w:r>
    </w:p>
    <w:p>
      <w:r>
        <w:t>NFR-101: Telemetry ingestion pipeline end-to-end latency must remain under 150 milliseconds.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