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- Online Library System</w:t>
      </w:r>
    </w:p>
    <w:p>
      <w:r>
        <w:t>Scope: System functional requirements and engineering specifications.</w:t>
      </w:r>
    </w:p>
    <w:p>
      <w:r>
        <w:t>FR-101: The system shall provide a search module with metadata indexing to query books with sub-200ms response time.</w:t>
      </w:r>
    </w:p>
    <w:p>
      <w:r>
        <w:t>FR-102: The system shall calculate overdue fines daily and process payment settlement through integrated payment gateway.</w:t>
      </w:r>
    </w:p>
    <w:p>
      <w:r>
        <w:t>FR-103: The system shall enforce role-based authorization matrix for Member, Librarian, and Administrator permissions.</w:t>
      </w:r>
    </w:p>
    <w:p>
      <w:r>
        <w:t>FR-104: The system shall compile and export monthly circulation and inventory statistics in PDF and CSV formats.</w:t>
      </w:r>
    </w:p>
    <w:p>
      <w:r>
        <w:t>FR-105: Users shall authenticate with email and password using salted one-way hash verification.</w:t>
      </w:r>
    </w:p>
    <w:p>
      <w:r>
        <w:t>FR-106: The system shall allow members to execute loan renewals if no reservation hold exists on the book.</w:t>
      </w:r>
    </w:p>
    <w:p>
      <w:r>
        <w:t>FR-107: The notification service shall dispatch email alerts 48 hours prior to book loan due dates via SMTP.</w:t>
      </w:r>
    </w:p>
    <w:p>
      <w:r>
        <w:t>FR-108: The checkout service shall validate maximum allowable loan quota per member and provide mobile browser access.</w:t>
      </w:r>
    </w:p>
    <w:p>
      <w:r>
        <w:t>FR-109: The logging module shall record all book status transitions and checkout events to an immutable audit table.</w:t>
      </w:r>
    </w:p>
    <w:p>
      <w:r>
        <w:t>FR-110: The platform shall support scalable high throughput architecture capable of handling concurrent requests during traffic peaks.</w:t>
      </w:r>
    </w:p>
    <w:p>
      <w:r>
        <w:t>FR-111: The system shall interface with legacy magnetic tape archival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