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- CampusRide Transit System</w:t>
      </w:r>
    </w:p>
    <w:p>
      <w:r>
        <w:t>Scope: Campus shuttle software functional and non-functional engineering specifications.</w:t>
      </w:r>
    </w:p>
    <w:p>
      <w:r>
        <w:t>FR-101: The system shall provide real-time campus shuttle ETA tracking and live arrival board with sub-200ms latency.</w:t>
      </w:r>
    </w:p>
    <w:p>
      <w:r>
        <w:t>FR-102: The system shall process seat reservation and booking service for high-demand campus shuttle routes.</w:t>
      </w:r>
    </w:p>
    <w:p>
      <w:r>
        <w:t>FR-103: The system shall enforce role-based authorization matrix restricting staff-only shuttle routes to verified faculty credentials.</w:t>
      </w:r>
    </w:p>
    <w:p>
      <w:r>
        <w:t>FR-104: The service alert notification engine shall dispatch push and SMS alerts for shuttle delays and route diversions.</w:t>
      </w:r>
    </w:p>
    <w:p>
      <w:r>
        <w:t>FR-105: The fleet operations analytics module shall compile ride metrics, passenger loads, and route utilization into reports.</w:t>
      </w:r>
    </w:p>
    <w:p>
      <w:r>
        <w:t>FR-106: The system shall record all ride bookings, cancellations, and driver assignments in an immutable audit ledger.</w:t>
      </w:r>
    </w:p>
    <w:p>
      <w:r>
        <w:t>FR-107: The vehicle accessibility module shall flag wheelchair boarding capacity and ramp availability for incoming shuttles.</w:t>
      </w:r>
    </w:p>
    <w:p>
      <w:r>
        <w:t>FR-108: The seat reservation cancellation endpoint shall allow riders to cancel bookings prior to cutoff window.</w:t>
      </w:r>
    </w:p>
    <w:p>
      <w:r>
        <w:t>FR-109: The capacity administration service shall allow fleet managers to configure shuttle vehicle passenger limits.</w:t>
      </w:r>
    </w:p>
    <w:p>
      <w:r>
        <w:t>FR-110: The platform shall support scalable high throughput architecture handling concurrent rider requests during rush hour peaks.</w:t>
      </w:r>
    </w:p>
    <w:p>
      <w:r>
        <w:t>NFR-101: System response time shall be under 500ms for real-time GPS coordinate updates.</w:t>
      </w:r>
    </w:p>
    <w:p>
      <w:r>
        <w:t>NFR-102: The platform shall maintain 99.9% uptime availability for fleet dispatch services.</w:t>
      </w:r>
    </w:p>
    <w:p>
      <w:r>
        <w:t>NFR-103: The system shall enforce data retention compliance for rider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