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- CampusRide Subsystems</w:t>
      </w:r>
    </w:p>
    <w:p>
      <w:r>
        <w:t>Functional Specification: Component-level process flows and interface behaviors.</w:t>
      </w:r>
    </w:p>
    <w:p>
      <w:r>
        <w:t>FS-201: Arrival board service indexes shuttle GPS feeds and computes real-time arrival countdowns.</w:t>
      </w:r>
    </w:p>
    <w:p>
      <w:r>
        <w:t>FS-202: Seat reservation controller allocates seat inventory and generates digital boarding passes.</w:t>
      </w:r>
    </w:p>
    <w:p>
      <w:r>
        <w:t>FS-203: Route authorization middleware validates university staff credentials on staff-designated shuttle routes.</w:t>
      </w:r>
    </w:p>
    <w:p>
      <w:r>
        <w:t>FS-204: Push and SMS alert dispatch service transmits delay notifications and route diversions to subscribed riders.</w:t>
      </w:r>
    </w:p>
    <w:p>
      <w:r>
        <w:t>FS-205: Analytics reporting engine aggregates shuttle ridership metrics into printable daily fleet dashboards.</w:t>
      </w:r>
    </w:p>
    <w:p>
      <w:r>
        <w:t>FS-206: Ledger service persists immutable ride booking transitions to PostgreSQL audit table.</w:t>
      </w:r>
    </w:p>
    <w:p>
      <w:r>
        <w:t>FS-207: Accessibility flag filter identifies wheelchair-accessible shuttles and allocates ramp priority spaces.</w:t>
      </w:r>
    </w:p>
    <w:p>
      <w:r>
        <w:t>FS-208: Reservation cancellation handler releases seat quota when rider cancels before departure cutoff.</w:t>
      </w:r>
    </w:p>
    <w:p>
      <w:r>
        <w:t>FS-209: Vehicle capacity configuration module allows administrators to adjust shuttle seat limits.</w:t>
      </w:r>
    </w:p>
    <w:p>
      <w:r>
        <w:t>FS-210: Load balancing cluster distribution handling high throughput during campus rush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