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AeroOrbit Mission Operations</w:t>
      </w:r>
    </w:p>
    <w:p>
      <w:r>
        <w:t>BR-001: The ground station platform shall ingest and parse high-rate CCSDS telemetry streams.</w:t>
      </w:r>
    </w:p>
    <w:p>
      <w:r>
        <w:t>BR-002: Flight operators shall execute reaction wheel desaturation maneuvers during eclipse periods.</w:t>
      </w:r>
    </w:p>
    <w:p>
      <w:r>
        <w:t>BR-003: The flight scheduler shall dispatch orbital thruster delta-v burn commands.</w:t>
      </w:r>
    </w:p>
    <w:p>
      <w:r>
        <w:t>BR-004: The payload archive shall compress telemetry logs and download orbital ephemeris certificates.</w:t>
      </w:r>
    </w:p>
    <w:p>
      <w:r>
        <w:t>BR-005: The attitude controller shall calculate solar array sun-pointing articulation angles.</w:t>
      </w:r>
    </w:p>
    <w:p>
      <w:r>
        <w:t>BR-006: The flight telemetry parser shall detect and discard duplicate CCSDS packet sequence counts.</w:t>
      </w:r>
    </w:p>
    <w:p>
      <w:r>
        <w:t>BR-007: Operators shall upload star tracker attitude calibration tables.</w:t>
      </w:r>
    </w:p>
    <w:p>
      <w:r>
        <w:t>BR-008: The safety subsystem shall trigger emergency safe-hold mode upon loss of earth 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