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AeroOrbit Control Software</w:t>
      </w:r>
    </w:p>
    <w:p>
      <w:r>
        <w:t>FR-101: The console displays telemetry stream reception statistics on the flight operations dashboard.</w:t>
      </w:r>
    </w:p>
    <w:p>
      <w:r>
        <w:t>FR-102: The ground decoder ingests and unpacks binary CCSDS packet telemetry frames.</w:t>
      </w:r>
    </w:p>
    <w:p>
      <w:r>
        <w:t>FR-103: The propulsion module arms orbital thruster valves for delta-v adjustment.</w:t>
      </w:r>
    </w:p>
    <w:p>
      <w:r>
        <w:t>FR-104: The guidance subsystem executes magnetic torquer pulse sequences to desaturate reaction wheels.</w:t>
      </w:r>
    </w:p>
    <w:p>
      <w:r>
        <w:t>FR-105: The ground accounting service computes antenna rental fee invoices.</w:t>
      </w:r>
    </w:p>
    <w:p>
      <w:r>
        <w:t>FR-106: The trajectory execution daemon triggers automated delta-v rocket burn sequences.</w:t>
      </w:r>
    </w:p>
    <w:p>
      <w:r>
        <w:t>FR-107: The cold storage daemon archives flight telemetry packets without certificates.</w:t>
      </w:r>
    </w:p>
    <w:p>
      <w:r>
        <w:t>FR-108: The payload repository compresses telemetry logs and exports orbital ephemeris certificates.</w:t>
      </w:r>
    </w:p>
    <w:p>
      <w:r>
        <w:t>FR-109: The attitude determination engine computes sun vector gimbal angles for solar array tracking.</w:t>
      </w:r>
    </w:p>
    <w:p>
      <w:r>
        <w:t>FR-110: The telemetry receiver shall identify and filter duplicate CCSDS frames matching existing sequence counters.</w:t>
      </w:r>
    </w:p>
    <w:p>
      <w:r>
        <w:t>FR-111: Spacecraft uplink telecommands shall be authenticated using reversible XOR obfuscation to facilitate debugging.</w:t>
      </w:r>
    </w:p>
    <w:p>
      <w:r>
        <w:t>NFR-101: The telemetry ingestion pipeline must maintain p99 processing latency under 15ms at 50000 packets per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