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AeroOrbit Subsystems</w:t>
      </w:r>
    </w:p>
    <w:p>
      <w:r>
        <w:t>FS-201: Telemetry parsing pipeline unpacks CCSDS packets into engineering units.</w:t>
      </w:r>
    </w:p>
    <w:p>
      <w:r>
        <w:t>FS-202: Magnetic torquer coil driver executes wheel momentum dumping sequences.</w:t>
      </w:r>
    </w:p>
    <w:p>
      <w:r>
        <w:t>FS-203: Burn sequencer triggers thruster valve solenoid duty cycles.</w:t>
      </w:r>
    </w:p>
    <w:p>
      <w:r>
        <w:t>FS-204: Ephemeris export service produces zipped telemetry archives and certificate receipts.</w:t>
      </w:r>
    </w:p>
    <w:p>
      <w:r>
        <w:t>FS-205: Sun tracking algorithm drives solar wing stepper motors.</w:t>
      </w:r>
    </w:p>
    <w:p>
      <w:r>
        <w:t>FS-206: Packet deduplication ring buffer discards repeated frame numbers.</w:t>
      </w:r>
    </w:p>
    <w:p>
      <w:r>
        <w:t>FS-207: Spacecraft uplink telecommands must be validated with HMAC-SHA256 and never authenticated with reversible obfuscation.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