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AeroOrbit Configuration Control</w:t>
      </w:r>
    </w:p>
    <w:p>
      <w:r>
        <w:t>CR-501: Upgrade CCSDS telemetry parser in FR-102 to support V2 extended frame headers.</w:t>
      </w:r>
    </w:p>
    <w:p>
      <w:r>
        <w:t>CR-502: Mandate HMAC-SHA256 cryptographic command signing and prohibit reversible XOR in FR-111.</w:t>
      </w:r>
    </w:p>
    <w:p>
      <w:r>
        <w:t>CR-506: Procure 15 ergonomic standing monitor arms for mission control desks.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