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AutoDrive Autonomous Perception</w:t>
      </w:r>
    </w:p>
    <w:p>
      <w:r>
        <w:t>BR-001: The perception subsystem shall cluster LiDAR point cloud voxels to detect 3D obstacles.</w:t>
      </w:r>
    </w:p>
    <w:p>
      <w:r>
        <w:t>BR-002: The planning daemon shall calculate dynamic MPC collision-avoidance vehicle trajectory paths.</w:t>
      </w:r>
    </w:p>
    <w:p>
      <w:r>
        <w:t>BR-003: The safety monitor shall trigger emergency automated braking upon impending collision detection.</w:t>
      </w:r>
    </w:p>
    <w:p>
      <w:r>
        <w:t>BR-004: The diagnostics recorder shall archive drive telemetry and download ISO-26262 safety logs.</w:t>
      </w:r>
    </w:p>
    <w:p>
      <w:r>
        <w:t>BR-005: The sensor fusion hub shall detect and discard duplicate radar detection frame sequences.</w:t>
      </w:r>
    </w:p>
    <w:p>
      <w:r>
        <w:t>BR-006: Technicians shall authenticate to vehicle diagnostic port via cryptographic smartcard.</w:t>
      </w:r>
    </w:p>
    <w:p>
      <w:r>
        <w:t>BR-007: The vision pipeline shall segment camera images to identify drivable lane boundaries.</w:t>
      </w:r>
    </w:p>
    <w:p>
      <w:r>
        <w:t>BR-008: The chassis controller shall steer vehicle along localized HD map waypoint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