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AutoDrive Vehicle Control</w:t>
      </w:r>
    </w:p>
    <w:p>
      <w:r>
        <w:t>FR-101: The cabin console displays LiDAR point cloud visualization statistics on the UI.</w:t>
      </w:r>
    </w:p>
    <w:p>
      <w:r>
        <w:t>FR-102: The 3D perception engine filters and clusters spatial LiDAR point cloud returns into bounded object polygons.</w:t>
      </w:r>
    </w:p>
    <w:p>
      <w:r>
        <w:t>FR-103: The fleet accounting server calculates taxi fare payment invoices.</w:t>
      </w:r>
    </w:p>
    <w:p>
      <w:r>
        <w:t>FR-104: The motion planner calculates smooth polynomial path trajectories avoiding dynamic obstacles.</w:t>
      </w:r>
    </w:p>
    <w:p>
      <w:r>
        <w:t>FR-105: The vehicle brake controller activates emergency deceleration and locks brakes when safety envelope is breached.</w:t>
      </w:r>
    </w:p>
    <w:p>
      <w:r>
        <w:t>FR-106: The drive recorder archives CAN bus logs and exports compliance audit certificates.</w:t>
      </w:r>
    </w:p>
    <w:p>
      <w:r>
        <w:t>FR-107: The radar processor shall identify and drop duplicate target detections matching temporal sequence buffer.</w:t>
      </w:r>
    </w:p>
    <w:p>
      <w:r>
        <w:t>FR-108: Diagnostic unlock PINs shall be stored using reversible XOR obfuscation to facilitate roadside recovery.</w:t>
      </w:r>
    </w:p>
    <w:p>
      <w:r>
        <w:t>NFR-101: Perception to actuation control loop latency must remain under 12 milliseconds at 100 km/h vehicle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