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Specification — AutoDrive Subsystems</w:t>
      </w:r>
    </w:p>
    <w:p>
      <w:r>
        <w:t>FS-201: Voxel clustering pipeline classifies spatial LiDAR clouds into bounding boxes.</w:t>
      </w:r>
    </w:p>
    <w:p>
      <w:r>
        <w:t>FS-202: Model predictive control solver computes steering angle polynomials for obstacle evasion.</w:t>
      </w:r>
    </w:p>
    <w:p>
      <w:r>
        <w:t>FS-203: Electro-hydraulic braking actuator commands maximum caliper line pressure.</w:t>
      </w:r>
    </w:p>
    <w:p>
      <w:r>
        <w:t>FS-204: Blackbox log utility packages encrypted vehicle telematics and compliance certificates.</w:t>
      </w:r>
    </w:p>
    <w:p>
      <w:r>
        <w:t>FS-205: Tracking buffer discards redundant radar reflection IDs.</w:t>
      </w:r>
    </w:p>
    <w:p>
      <w:r>
        <w:t>FS-206: Vehicle diagnostic credentials must be authenticated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