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Requests — AutoDrive Vehicle Engineering</w:t>
      </w:r>
    </w:p>
    <w:p>
      <w:r>
        <w:t>CR-501: Upgrade LiDAR perception pipeline in FR-102 to support 128-beam high-resolution sensors.</w:t>
      </w:r>
    </w:p>
    <w:p>
      <w:r>
        <w:t>CR-502: Enforce cryptographic Argon2id validation and prohibit reversible XOR in FR-108.</w:t>
      </w:r>
    </w:p>
    <w:p>
      <w:r>
        <w:t>CR-506: Purchase 20 ergonomic cushions for test vehicle seats.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