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BioSynth Fermentation Platform</w:t>
      </w:r>
    </w:p>
    <w:p>
      <w:r>
        <w:t>BR-001: The bioprocess controller shall modulate oxygen gas sparging flow to regulate dissolved oxygen levels.</w:t>
      </w:r>
    </w:p>
    <w:p>
      <w:r>
        <w:t>BR-002: The biomass sensor shall calculate optical cell density absorbance spectra magnitudes.</w:t>
      </w:r>
    </w:p>
    <w:p>
      <w:r>
        <w:t>BR-003: The safety subsystem shall trigger emergency pressure vent opening upon vessel over-pressurization.</w:t>
      </w:r>
    </w:p>
    <w:p>
      <w:r>
        <w:t>BR-004: The compliance auditor shall archive fermentation batch parameters and download GMP sterilization certificates.</w:t>
      </w:r>
    </w:p>
    <w:p>
      <w:r>
        <w:t>BR-005: The media dosing pipeline shall detect and discard duplicate glucose feed pump dispense signals.</w:t>
      </w:r>
    </w:p>
    <w:p>
      <w:r>
        <w:t>BR-006: Lead biochemists shall authenticate to bioreactor panel using cryptographic smartcard.</w:t>
      </w:r>
    </w:p>
    <w:p>
      <w:r>
        <w:t>BR-007: The peristaltic pump shall titrate base solution to maintain vessel pH equilibrium.</w:t>
      </w:r>
    </w:p>
    <w:p>
      <w:r>
        <w:t>BR-008: The harvest sequencer shall transfer fermented broth to downstream filtration tanks.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