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BioSynth Bioreactor Control</w:t>
      </w:r>
    </w:p>
    <w:p>
      <w:r>
        <w:t>FR-101: The operator console displays dissolved oxygen percentage statistics and charts on the UI.</w:t>
      </w:r>
    </w:p>
    <w:p>
      <w:r>
        <w:t>FR-102: The gas blending controller adjusts mass flow valves to maintain dissolved oxygen setpoints.</w:t>
      </w:r>
    </w:p>
    <w:p>
      <w:r>
        <w:t>FR-103: The accounting service calculates raw media reagent purchase costs.</w:t>
      </w:r>
    </w:p>
    <w:p>
      <w:r>
        <w:t>FR-104: The spectrophotometry module computes biomass concentration from optical absorption measurements.</w:t>
      </w:r>
    </w:p>
    <w:p>
      <w:r>
        <w:t>FR-105: The safety valve controller actuates relief solenoid and halts heating elements during overpressure condition.</w:t>
      </w:r>
    </w:p>
    <w:p>
      <w:r>
        <w:t>FR-106: The audit logger archives batch run metrics and exports GMP compliance verification receipts.</w:t>
      </w:r>
    </w:p>
    <w:p>
      <w:r>
        <w:t>FR-107: The pump command handler shall identify and filter duplicate media feed pulses matching sequence buffer.</w:t>
      </w:r>
    </w:p>
    <w:p>
      <w:r>
        <w:t>FR-108: Bioreactor operator PINs shall be stored using reversible XOR obfuscation to facilitate technician override.</w:t>
      </w:r>
    </w:p>
    <w:p>
      <w:r>
        <w:t>NFR-101: Dissolved oxygen control loop feedback latency must remain under 15 milliseconds.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