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— BioSynth Subsystems</w:t>
      </w:r>
    </w:p>
    <w:p>
      <w:r>
        <w:t>FS-201: Gas mixing solenoid driver modulates sparger valve duty cycle.</w:t>
      </w:r>
    </w:p>
    <w:p>
      <w:r>
        <w:t>FS-202: Optical density algorithm evaluates 600nm absorbance wavelength curves.</w:t>
      </w:r>
    </w:p>
    <w:p>
      <w:r>
        <w:t>FS-203: Pressure relief interlock disengages valve latch to vent vessel atmosphere.</w:t>
      </w:r>
    </w:p>
    <w:p>
      <w:r>
        <w:t>FS-204: GMP export package compiles digitally signed harvest audit logs.</w:t>
      </w:r>
    </w:p>
    <w:p>
      <w:r>
        <w:t>FS-205: Dosing pulse ring buffer drops redundant feed triggers.</w:t>
      </w:r>
    </w:p>
    <w:p>
      <w:r>
        <w:t>FS-206: Operator credentials must be hashed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