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BioSynth Clinical Interface</w:t>
      </w:r>
    </w:p>
    <w:p>
      <w:r>
        <w:t>US-301: As a fermentation engineer, I want automated dissolved oxygen gas regulation so that cell viability is maintained.</w:t>
      </w:r>
    </w:p>
    <w:p>
      <w:r>
        <w:t>US-302: As a process chemist, I want real-time biomass optical density computation so that growth rates are tracked.</w:t>
      </w:r>
    </w:p>
    <w:p>
      <w:r>
        <w:t>US-303: As a safety officer, I want duplicate media pump pulses filtered so that nutrient over-dosing is prevented.</w:t>
      </w:r>
    </w:p>
    <w:p>
      <w:r>
        <w:t>US-310: As a lab assistant, I want to reserve conference rooms for the biology team meeting.</w:t>
      </w:r>
    </w:p>
    <w:p>
      <w:r>
        <w:t>US-311: As an archivist, I want to print enzyme manuals onto microfiche film sheets.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