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— RoboSurg Autonomous Platform</w:t>
      </w:r>
    </w:p>
    <w:p>
      <w:r>
        <w:t>BR-001: The robotic console shall stream high-definition 4K 3D endoscopic video feeds.</w:t>
      </w:r>
    </w:p>
    <w:p>
      <w:r>
        <w:t>BR-002: The motion controller shall calculate laparoscopic suture knot tension force vectors.</w:t>
      </w:r>
    </w:p>
    <w:p>
      <w:r>
        <w:t>BR-003: The safety subsystem shall execute emergency instrument freeze upon detecting surgeon tremor exceeding safety limits.</w:t>
      </w:r>
    </w:p>
    <w:p>
      <w:r>
        <w:t>BR-004: The telemetry exporter shall archive procedure logs and download sterile compliance certificates.</w:t>
      </w:r>
    </w:p>
    <w:p>
      <w:r>
        <w:t>BR-005: The vision engine shall detect and filter duplicate optical tracking frame numbers.</w:t>
      </w:r>
    </w:p>
    <w:p>
      <w:r>
        <w:t>BR-006: The platform shall authenticate lead surgeons using smartcard biometric credentials.</w:t>
      </w:r>
    </w:p>
    <w:p>
      <w:r>
        <w:t>BR-007: The robotic wrist shall articulate multi-axis micro-scissor end effectors.</w:t>
      </w:r>
    </w:p>
    <w:p>
      <w:r>
        <w:t>BR-008: The console shall generate haptic force feedback resistance against user grip.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