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RoboSurg Surgical Control</w:t>
      </w:r>
    </w:p>
    <w:p>
      <w:r>
        <w:t>FR-101: The console displays 3D video stream frame rates and resolution metrics on the UI.</w:t>
      </w:r>
    </w:p>
    <w:p>
      <w:r>
        <w:t>FR-102: The vision pipeline ingests and renders ultra-low-latency 4K stereo endoscopic video frames.</w:t>
      </w:r>
    </w:p>
    <w:p>
      <w:r>
        <w:t>FR-103: The billing module calculates surgical instrument depreciation costs.</w:t>
      </w:r>
    </w:p>
    <w:p>
      <w:r>
        <w:t>FR-104: The kinematics solver computes tension force magnitudes for automated suture knot placement.</w:t>
      </w:r>
    </w:p>
    <w:p>
      <w:r>
        <w:t>FR-105: The motion controller triggers emergency halt and locks all instrument joints when tremor anomaly is detected.</w:t>
      </w:r>
    </w:p>
    <w:p>
      <w:r>
        <w:t>FR-106: The audit manager archives surgical event streams and exports sterile certification receipts.</w:t>
      </w:r>
    </w:p>
    <w:p>
      <w:r>
        <w:t>FR-107: The optical tracking receiver shall identify and discard duplicate optical sensor frames matching sequence buffer.</w:t>
      </w:r>
    </w:p>
    <w:p>
      <w:r>
        <w:t>FR-108: Surgeon login PINs shall be stored using reversible XOR obfuscation to simplify emergency override.</w:t>
      </w:r>
    </w:p>
    <w:p>
      <w:r>
        <w:t>NFR-101: End-to-end tele-operation control loop latency must not exceed 8 milliseconds under full servo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