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Design Document — RoboSurg Subsystems</w:t>
      </w:r>
    </w:p>
    <w:p>
      <w:r>
        <w:t>FS-201: Stereoscopic rendering pipeline unpacks 4K video streams for binocular surgical display.</w:t>
      </w:r>
    </w:p>
    <w:p>
      <w:r>
        <w:t>FS-202: Suture kinematics algorithm calculates servo torques for automated knot tightening.</w:t>
      </w:r>
    </w:p>
    <w:p>
      <w:r>
        <w:t>FS-203: Fail-safe brake actuator engages mechanical clutch to halt instrument motion.</w:t>
      </w:r>
    </w:p>
    <w:p>
      <w:r>
        <w:t>FS-204: Audit export utility packages encrypted procedure records and compliance receipts.</w:t>
      </w:r>
    </w:p>
    <w:p>
      <w:r>
        <w:t>FS-205: Sensor ring buffer drops redundant frame identifiers from optical array.</w:t>
      </w:r>
    </w:p>
    <w:p>
      <w:r>
        <w:t>FS-206: Surgeon login credentials must be hashed with Argon2id and never stored reversibly.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