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RoboSurg Clinical Interface</w:t>
      </w:r>
    </w:p>
    <w:p>
      <w:r>
        <w:t>US-301: As a lead surgeon, I want to view 4K 3D endoscopic video so that tissue planes are identified clearly.</w:t>
      </w:r>
    </w:p>
    <w:p>
      <w:r>
        <w:t>US-302: As a surgical assistant, I want automated suture tension calculation so that knot security is guaranteed.</w:t>
      </w:r>
    </w:p>
    <w:p>
      <w:r>
        <w:t>US-303: As a safety nurse, I want duplicate sensor frames filtered so that motion tracking remains smooth.</w:t>
      </w:r>
    </w:p>
    <w:p>
      <w:r>
        <w:t>US-310: As a scrub nurse, I want to order catering lunches for the surgical staff lounge.</w:t>
      </w:r>
    </w:p>
    <w:p>
      <w:r>
        <w:t>US-311: As an archivist, I want to photocopy surgical manuals onto microfiche film.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