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— SkyMesh Drone Network</w:t>
      </w:r>
    </w:p>
    <w:p>
      <w:r>
        <w:t>BR-001: The flight computer shall calculate dynamic mesh network routing tables between airborne drone nodes.</w:t>
      </w:r>
    </w:p>
    <w:p>
      <w:r>
        <w:t>BR-002: The collision radar shall compute obstacle proximity distance vectors.</w:t>
      </w:r>
    </w:p>
    <w:p>
      <w:r>
        <w:t>BR-003: The safety subsystem shall execute ballistic parachute deployment upon motor loss of thrust anomaly.</w:t>
      </w:r>
    </w:p>
    <w:p>
      <w:r>
        <w:t>BR-004: The flight telemetry recorder shall archive flight trajectory breadcrumbs and download FAA compliance certificates.</w:t>
      </w:r>
    </w:p>
    <w:p>
      <w:r>
        <w:t>BR-005: The mesh transponder shall detect and discard duplicate telemetry packet sequence numbers.</w:t>
      </w:r>
    </w:p>
    <w:p>
      <w:r>
        <w:t>BR-006: Ground pilots shall authenticate to control link via cryptographic smartcard token.</w:t>
      </w:r>
    </w:p>
    <w:p>
      <w:r>
        <w:t>BR-007: The gimbal stabilizer shall orient optical tracking cameras toward target waypoints.</w:t>
      </w:r>
    </w:p>
    <w:p>
      <w:r>
        <w:t>BR-008: The battery monitor shall calculate remaining hover endurance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