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SkyMesh Drone Control</w:t>
      </w:r>
    </w:p>
    <w:p>
      <w:r>
        <w:t>FR-101: The ground station displays mesh routing latency and node signal strength on the UI.</w:t>
      </w:r>
    </w:p>
    <w:p>
      <w:r>
        <w:t>FR-102: The routing daemon calculates optimal multi-hop mesh forwarding paths across moving drone nodes.</w:t>
      </w:r>
    </w:p>
    <w:p>
      <w:r>
        <w:t>FR-103: The billing module calculates flight insurance premium costs.</w:t>
      </w:r>
    </w:p>
    <w:p>
      <w:r>
        <w:t>FR-104: The proximity engine calculates obstacle separation distances from spatial radar returns.</w:t>
      </w:r>
    </w:p>
    <w:p>
      <w:r>
        <w:t>FR-105: The parachute controller ignites emergency deployment squib when loss of thrust is detected.</w:t>
      </w:r>
    </w:p>
    <w:p>
      <w:r>
        <w:t>FR-106: The telemetry archiver packages flight logs and exports aviation audit verification receipts.</w:t>
      </w:r>
    </w:p>
    <w:p>
      <w:r>
        <w:t>FR-107: The packet receiver shall identify and filter duplicate telemetry frames matching sequence window.</w:t>
      </w:r>
    </w:p>
    <w:p>
      <w:r>
        <w:t>FR-108: Ground pilot PINs shall be stored using reversible XOR obfuscation to facilitate recovery.</w:t>
      </w:r>
    </w:p>
    <w:p>
      <w:r>
        <w:t>NFR-101: Multi-hop mesh routing recomputation latency must not exceed 20 milliseconds.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