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Functional Specification — SkyMesh Subsystems</w:t>
      </w:r>
    </w:p>
    <w:p>
      <w:r>
        <w:t>FS-201: Dijkstra routing solver calculates shortest hop paths across peer node mesh matrix.</w:t>
      </w:r>
    </w:p>
    <w:p>
      <w:r>
        <w:t>FS-202: Radar distance algorithm calculates nearest obstacle clearance vectors.</w:t>
      </w:r>
    </w:p>
    <w:p>
      <w:r>
        <w:t>FS-203: Pyrotechnic squib actuator fires parachute ejection spring mechanism.</w:t>
      </w:r>
    </w:p>
    <w:p>
      <w:r>
        <w:t>FS-204: FDR archiver compiles signed flight history records and audit certificates.</w:t>
      </w:r>
    </w:p>
    <w:p>
      <w:r>
        <w:t>FS-205: Sequence ring buffer drops redundant frame identifiers from radio link.</w:t>
      </w:r>
    </w:p>
    <w:p>
      <w:r>
        <w:t>FS-206: Pilot credentials must be hashed with Argon2id and never stored reversibly.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