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Results</w:t>
      </w:r>
    </w:p>
    <w:p>
      <w:r>
        <w:rPr>
          <w:b/>
        </w:rPr>
        <w:t xml:space="preserve">Run ID: </w:t>
      </w:r>
      <w:r>
        <w:t>20260515T070529Z</w:t>
      </w:r>
      <w:r>
        <w:rPr>
          <w:b/>
        </w:rPr>
        <w:t xml:space="preserve"> | Created UTC: </w:t>
      </w:r>
      <w:r>
        <w:t>2026-05-15T07:06:25.211800+00:00</w:t>
      </w:r>
    </w:p>
    <w:p>
      <w:pPr>
        <w:pStyle w:val="Heading2"/>
      </w:pPr>
      <w:r>
        <w:t>4.1. Test Setup</w:t>
      </w:r>
    </w:p>
    <w:p>
      <w:r>
        <w:t>This study evaluates the performance of Large Language Models (LLMs) in recovering ROS 2 system architectures using the actual execution pipeline implemented in this project. Ground truth was extracted directly from real ROS 2 source repositories with a deterministic static source parser that combines AST-style source inspection with targeted pattern analysis for ROS 2 nodes, publishers, subscribers, topics, message/interface types, lifecycle indicators, and launch-file executables. The run used real-data-only mode, so tutorial, demo, example, test, mock, dummy, fake, stub, fixture, simulation, simulator, and loopback inputs were excluded from the evaluation scope.</w:t>
      </w:r>
    </w:p>
    <w:p>
      <w:r>
        <w:t>The latest recorded run evaluated 15 repositories: ros2/rclcpp, ros2/rclpy, ros2/launch_ros, ros2/rosbag2, ros2/geometry2, ros2/rviz, ros2/composition, ros2/bond_core, ros2/diagnostics, ros2/common_interfaces, ros2/rcl, ros2/robot_state_publisher, ros2/teleop_twist_joy, ros2/message_filters, ros2/ros2cli. The configured model set was llama-4, groq-large, groq-small, qwen-groq. The ground-truth audit recorded 12 real nodes and 4 topics across the selected repositories, with 0 empty node-name issues and 0 invalid topic-name issues. Unlike the earlier placeholder scenario, the evaluation did not rely on three artificial perturbed outputs; it compared real LLM outputs against source-derived ground truth and then classified the observed deviations.</w:t>
      </w:r>
    </w:p>
    <w:p>
      <w:r>
        <w:t>The validation stage produced architecture metrics, LLM audit responses, generated JANI-style verification artifacts, ROSClaw-compatible error logs, native AS2FM model artifacts, and a deterministic local validation baseline. AS2FM and ROSClaw were smoke-tested locally. For proposal-level category coverage, however, AS2FM was marked not applicable to the current repository inputs because real AS2FM category detection requires repo-specific RoAML/ASCXML behavior models, while the available real ROS 2 repositories provide architecture graphs rather than executable AS2FM behavior models.</w:t>
      </w:r>
    </w:p>
    <w:p>
      <w:pPr>
        <w:pStyle w:val="Heading2"/>
      </w:pPr>
      <w:r>
        <w:t>4.2. Evaluation Metrics</w:t>
      </w:r>
    </w:p>
    <w:p>
      <w:r>
        <w:t>The evaluation is based on six metrics, applied to the real execution artifacts generated by the pipeline:</w:t>
      </w:r>
    </w:p>
    <w:p>
      <w:pPr>
        <w:pStyle w:val="ListBullet"/>
      </w:pPr>
      <w:r>
        <w:t>M1: Node-Level Precision</w:t>
      </w:r>
    </w:p>
    <w:p>
      <w:pPr>
        <w:pStyle w:val="ListBullet"/>
      </w:pPr>
      <w:r>
        <w:t>M2: Subsystem Boundary Recall Gap (SBRG)</w:t>
      </w:r>
    </w:p>
    <w:p>
      <w:pPr>
        <w:pStyle w:val="ListBullet"/>
      </w:pPr>
      <w:r>
        <w:t>M3: Error Category Distribution (ECD)</w:t>
      </w:r>
    </w:p>
    <w:p>
      <w:pPr>
        <w:pStyle w:val="ListBullet"/>
      </w:pPr>
      <w:r>
        <w:t>M4: Inter-LLM Error Rate Variation (IERV)</w:t>
      </w:r>
    </w:p>
    <w:p>
      <w:pPr>
        <w:pStyle w:val="ListBullet"/>
      </w:pPr>
      <w:r>
        <w:t>M5: Tool Coverage Ratio (TCR)</w:t>
      </w:r>
    </w:p>
    <w:p>
      <w:pPr>
        <w:pStyle w:val="ListBullet"/>
      </w:pPr>
      <w:r>
        <w:t>M6: Time-to-Verify (TtV)</w:t>
      </w:r>
    </w:p>
    <w:p>
      <w:r>
        <w:t>These metrics quantify architecture recovery accuracy, subsystem grouping quality, error taxonomy behavior, model-to-model variability, automated detector coverage, and verification/runtime cost.</w:t>
      </w:r>
    </w:p>
    <w:p>
      <w:pPr>
        <w:pStyle w:val="Heading2"/>
      </w:pPr>
      <w:r>
        <w:t>4.3. Scenario Description</w:t>
      </w:r>
    </w:p>
    <w:p>
      <w:r>
        <w:t>The experimental scenario reflects a real architecture-recovery workflow. The pipeline clones or reuses selected ROS 2 repositories, filters out non-real-data inputs, extracts source-derived architectural ground truth, sends bounded source evidence to the configured LLMs, parses the returned architecture descriptions, and compares those outputs against the extracted ground truth.</w:t>
      </w:r>
    </w:p>
    <w:p>
      <w:r>
        <w:t>The comparison produces classified errors for ROS 2-specific failure modes: interface mismatches, hallucinated nodes, subsystem boundary confusion, missing nodes, wrong topic names, and lifecycle violations. The validation layer then evaluates which of these categories are detected by proposal tools (AS2FM and ROSClaw) and which are detected by the extended local adapters and deterministic static validator. This setup measures actual model behavior rather than only synthetic perturbation robustness.</w:t>
      </w:r>
    </w:p>
    <w:p>
      <w:pPr>
        <w:pStyle w:val="Heading2"/>
      </w:pPr>
      <w:r>
        <w:t>4.4. Results and Analysis</w:t>
      </w:r>
    </w:p>
    <w:p>
      <w:pPr>
        <w:pStyle w:val="Heading3"/>
      </w:pPr>
      <w:r>
        <w:t>4.4.1. Node-Level Precision (M1)</w:t>
      </w:r>
    </w:p>
    <w:p>
      <w:r>
        <w:t>The mean node-level precision across the four configured models was 5.56%. The best average result was achieved by groq-large at 10.00%, followed by llama-4 at 6.67%, groq-small at 5.56%, and qwen-groq at 0.00%.</w:t>
      </w:r>
    </w:p>
    <w:p>
      <w:r>
        <w:t>These values are much lower than the original placeholder value of 100.0%. The actual run shows that node identification remains difficult on the selected real repositories: models often missed source-derived nodes or generated node names that did not match the ground truth. Therefore, the real conclusion is not that LLMs are consistently strong at node-level recovery, but that their precision varies substantially and remains limited under the current prompt and evidence budget.</w:t>
      </w:r>
    </w:p>
    <w:p>
      <w:pPr>
        <w:pStyle w:val="Heading3"/>
      </w:pPr>
      <w:r>
        <w:t>4.4.2. Subsystem Boundary Recall Gap (M2)</w:t>
      </w:r>
    </w:p>
    <w:p>
      <w:r>
        <w:t>The average Subsystem Boundary Recall Gap was 2.78 pp across the model set. The largest average gaps were observed for groq-large and groq-small, both at 4.44 pp, while llama-4 measured 2.22 pp and qwen-groq measured 0.00 pp.</w:t>
      </w:r>
    </w:p>
    <w:p>
      <w:r>
        <w:t>The smaller gap does not imply that subsystem reasoning was solved. It must be interpreted together with the low node-level recovery scores: when few correct nodes are recovered, there are fewer opportunities for a large subsystem recall gap to appear. The result still shows that subsystem assignment errors occur, but missing and hallucinated nodes dominate the current failure profile.</w:t>
      </w:r>
    </w:p>
    <w:p>
      <w:pPr>
        <w:pStyle w:val="Heading3"/>
      </w:pPr>
      <w:r>
        <w:t>4.4.3. Error Category Distribution (M3)</w:t>
      </w:r>
    </w:p>
    <w:p>
      <w:r>
        <w:t>The run classified 106 total LLM errors. Hallucinated nodes were the largest category with 47 errors (44.34%), followed by missing nodes with 43 errors (40.57%). Interface mismatches accounted for 6 errors (5.66%), subsystem boundary confusion for 5 errors (4.72%), lifecycle violations for 3 errors (2.83%), and wrong topic names for 2 errors (1.89%).</w:t>
      </w:r>
    </w:p>
    <w:p>
      <w:r>
        <w:t>The real dominant error categories are hallucinated_node and missing_node, not subsystem boundary confusion. This indicates that the main current risk is failure to recover the correct node inventory before higher-level architectural grouping is even considered.</w:t>
      </w:r>
    </w:p>
    <w:p>
      <w:pPr>
        <w:pStyle w:val="Heading3"/>
      </w:pPr>
      <w:r>
        <w:t>4.4.4. Inter-LLM Error Rate Variation (M4)</w:t>
      </w:r>
    </w:p>
    <w:p>
      <w:r>
        <w:t>The largest Inter-LLM Error Rate Variation was observed for missing_node at 72.31 pp, followed by hallucinated_node at 58.31 pp and interface_mismatch at 10.00 pp. The remaining categories showed lower variation: subsystem_boundary_confusion at 8.70 pp, wrong_topic_name at 4.35 pp, and lifecycle_violation at 4.35 pp.</w:t>
      </w:r>
    </w:p>
    <w:p>
      <w:r>
        <w:t>This confirms that model choice materially changes the error profile. The same source-derived architecture recovery task can produce very different residual risks depending on which LLM is used, so independent validation remains necessary.</w:t>
      </w:r>
    </w:p>
    <w:p>
      <w:pPr>
        <w:pStyle w:val="Heading3"/>
      </w:pPr>
      <w:r>
        <w:t>4.4.5. Tool Coverage Ratio (M5)</w:t>
      </w:r>
    </w:p>
    <w:p>
      <w:r>
        <w:t>The proposal-level Tool Coverage Ratio was 16.67%. Under the proposal metric, only AS2FM and ROSClaw are counted; in this run, ROSClaw adequately covered interface_mismatch, giving 1 covered category out of 6. AS2FM category detection was not applicable to the current real repository inputs because executable repo-specific behavior models were not available.</w:t>
      </w:r>
    </w:p>
    <w:p>
      <w:r>
        <w:t>The extended/local Tool Coverage Ratio was 100.00%. This broader value includes the generated AS2FM_JANI_adapter and LocalStaticValidator, which covered all six error categories as automatically detectable checks over the architecture graph. The distinction is important: proposal TCR reports coverage by the existing proposal tools, while extended TCR shows what the implemented local verification adapters can detect in principle.</w:t>
      </w:r>
    </w:p>
    <w:p>
      <w:pPr>
        <w:pStyle w:val="Heading3"/>
      </w:pPr>
      <w:r>
        <w:t>4.4.6. Time-to-Verify (M6)</w:t>
      </w:r>
    </w:p>
    <w:p>
      <w:r>
        <w:t>The measured current pipeline Time-to-Verify was 16724.90 ms. This includes source parsing and validation timing from the active run. A representative five-repository audit using source parsing, prompt evidence collection, JANI artifact generation, native AS2FM conversion, and category validation reported an average total TtV of 1149.27 ms.</w:t>
      </w:r>
    </w:p>
    <w:p>
      <w:r>
        <w:t>The Ubuntu 22.04 plus ROS 2 Humble target audit was marked environment_unavailable in this run: WSL Ubuntu 22.04 was present and Python 3.10.12 was available, but ROS 2 Humble was not fully active in the probed environment. Therefore, the reported TtV is the available Windows/native pipeline measurement, with the Ubuntu plus Humble measurement remaining open until that environment is fully installed.</w:t>
      </w:r>
    </w:p>
    <w:p>
      <w:pPr>
        <w:pStyle w:val="Heading2"/>
      </w:pPr>
      <w:r>
        <w:t>4.5. Summary of Results</w:t>
      </w:r>
    </w:p>
    <w:tbl>
      <w:tblPr>
        <w:tblStyle w:val="TableGrid"/>
        <w:tblW w:type="auto" w:w="0"/>
        <w:tblLook w:firstColumn="1" w:firstRow="1" w:lastColumn="0" w:lastRow="0" w:noHBand="0" w:noVBand="1" w:val="04A0"/>
      </w:tblPr>
      <w:tblGrid>
        <w:gridCol w:w="3264"/>
        <w:gridCol w:w="3264"/>
        <w:gridCol w:w="3264"/>
      </w:tblGrid>
      <w:tr>
        <w:tc>
          <w:tcPr>
            <w:tcW w:type="dxa" w:w="3264"/>
          </w:tcPr>
          <w:p>
            <w:r>
              <w:rPr>
                <w:rFonts w:ascii="Times New Roman" w:hAnsi="Times New Roman"/>
              </w:rPr>
              <w:t>ID</w:t>
            </w:r>
          </w:p>
        </w:tc>
        <w:tc>
          <w:tcPr>
            <w:tcW w:type="dxa" w:w="3264"/>
          </w:tcPr>
          <w:p>
            <w:r>
              <w:rPr>
                <w:rFonts w:ascii="Times New Roman" w:hAnsi="Times New Roman"/>
              </w:rPr>
              <w:t>Metric</w:t>
            </w:r>
          </w:p>
        </w:tc>
        <w:tc>
          <w:tcPr>
            <w:tcW w:type="dxa" w:w="3264"/>
          </w:tcPr>
          <w:p>
            <w:r>
              <w:rPr>
                <w:rFonts w:ascii="Times New Roman" w:hAnsi="Times New Roman"/>
              </w:rPr>
              <w:t>Actual value from latest run</w:t>
            </w:r>
          </w:p>
        </w:tc>
      </w:tr>
      <w:tr>
        <w:tc>
          <w:tcPr>
            <w:tcW w:type="dxa" w:w="3264"/>
          </w:tcPr>
          <w:p>
            <w:r>
              <w:rPr>
                <w:rFonts w:ascii="Times New Roman" w:hAnsi="Times New Roman"/>
              </w:rPr>
              <w:t>M1</w:t>
            </w:r>
          </w:p>
        </w:tc>
        <w:tc>
          <w:tcPr>
            <w:tcW w:type="dxa" w:w="3264"/>
          </w:tcPr>
          <w:p>
            <w:r>
              <w:rPr>
                <w:rFonts w:ascii="Times New Roman" w:hAnsi="Times New Roman"/>
              </w:rPr>
              <w:t>Node-Level Precision</w:t>
            </w:r>
          </w:p>
        </w:tc>
        <w:tc>
          <w:tcPr>
            <w:tcW w:type="dxa" w:w="3264"/>
          </w:tcPr>
          <w:p>
            <w:r>
              <w:rPr>
                <w:rFonts w:ascii="Times New Roman" w:hAnsi="Times New Roman"/>
              </w:rPr>
              <w:t>Overall mean 5.56%; best model groq-large 10.00%</w:t>
            </w:r>
          </w:p>
        </w:tc>
      </w:tr>
      <w:tr>
        <w:tc>
          <w:tcPr>
            <w:tcW w:type="dxa" w:w="3264"/>
          </w:tcPr>
          <w:p>
            <w:r>
              <w:rPr>
                <w:rFonts w:ascii="Times New Roman" w:hAnsi="Times New Roman"/>
              </w:rPr>
              <w:t>M2</w:t>
            </w:r>
          </w:p>
        </w:tc>
        <w:tc>
          <w:tcPr>
            <w:tcW w:type="dxa" w:w="3264"/>
          </w:tcPr>
          <w:p>
            <w:r>
              <w:rPr>
                <w:rFonts w:ascii="Times New Roman" w:hAnsi="Times New Roman"/>
              </w:rPr>
              <w:t>SBRG</w:t>
            </w:r>
          </w:p>
        </w:tc>
        <w:tc>
          <w:tcPr>
            <w:tcW w:type="dxa" w:w="3264"/>
          </w:tcPr>
          <w:p>
            <w:r>
              <w:rPr>
                <w:rFonts w:ascii="Times New Roman" w:hAnsi="Times New Roman"/>
              </w:rPr>
              <w:t>Overall mean 2.78 pp; highest model averages 4.44 pp</w:t>
            </w:r>
          </w:p>
        </w:tc>
      </w:tr>
      <w:tr>
        <w:tc>
          <w:tcPr>
            <w:tcW w:type="dxa" w:w="3264"/>
          </w:tcPr>
          <w:p>
            <w:r>
              <w:rPr>
                <w:rFonts w:ascii="Times New Roman" w:hAnsi="Times New Roman"/>
              </w:rPr>
              <w:t>M3</w:t>
            </w:r>
          </w:p>
        </w:tc>
        <w:tc>
          <w:tcPr>
            <w:tcW w:type="dxa" w:w="3264"/>
          </w:tcPr>
          <w:p>
            <w:r>
              <w:rPr>
                <w:rFonts w:ascii="Times New Roman" w:hAnsi="Times New Roman"/>
              </w:rPr>
              <w:t>ECD</w:t>
            </w:r>
          </w:p>
        </w:tc>
        <w:tc>
          <w:tcPr>
            <w:tcW w:type="dxa" w:w="3264"/>
          </w:tcPr>
          <w:p>
            <w:r>
              <w:rPr>
                <w:rFonts w:ascii="Times New Roman" w:hAnsi="Times New Roman"/>
              </w:rPr>
              <w:t>106 errors; hallucinated_node 44.34%; missing_node 40.57%</w:t>
            </w:r>
          </w:p>
        </w:tc>
      </w:tr>
      <w:tr>
        <w:tc>
          <w:tcPr>
            <w:tcW w:type="dxa" w:w="3264"/>
          </w:tcPr>
          <w:p>
            <w:r>
              <w:rPr>
                <w:rFonts w:ascii="Times New Roman" w:hAnsi="Times New Roman"/>
              </w:rPr>
              <w:t>M4</w:t>
            </w:r>
          </w:p>
        </w:tc>
        <w:tc>
          <w:tcPr>
            <w:tcW w:type="dxa" w:w="3264"/>
          </w:tcPr>
          <w:p>
            <w:r>
              <w:rPr>
                <w:rFonts w:ascii="Times New Roman" w:hAnsi="Times New Roman"/>
              </w:rPr>
              <w:t>IERV</w:t>
            </w:r>
          </w:p>
        </w:tc>
        <w:tc>
          <w:tcPr>
            <w:tcW w:type="dxa" w:w="3264"/>
          </w:tcPr>
          <w:p>
            <w:r>
              <w:rPr>
                <w:rFonts w:ascii="Times New Roman" w:hAnsi="Times New Roman"/>
              </w:rPr>
              <w:t>Missing_node 72.31 pp; hallucinated_node 58.31 pp</w:t>
            </w:r>
          </w:p>
        </w:tc>
      </w:tr>
      <w:tr>
        <w:tc>
          <w:tcPr>
            <w:tcW w:type="dxa" w:w="3264"/>
          </w:tcPr>
          <w:p>
            <w:r>
              <w:rPr>
                <w:rFonts w:ascii="Times New Roman" w:hAnsi="Times New Roman"/>
              </w:rPr>
              <w:t>M5</w:t>
            </w:r>
          </w:p>
        </w:tc>
        <w:tc>
          <w:tcPr>
            <w:tcW w:type="dxa" w:w="3264"/>
          </w:tcPr>
          <w:p>
            <w:r>
              <w:rPr>
                <w:rFonts w:ascii="Times New Roman" w:hAnsi="Times New Roman"/>
              </w:rPr>
              <w:t>TCR</w:t>
            </w:r>
          </w:p>
        </w:tc>
        <w:tc>
          <w:tcPr>
            <w:tcW w:type="dxa" w:w="3264"/>
          </w:tcPr>
          <w:p>
            <w:r>
              <w:rPr>
                <w:rFonts w:ascii="Times New Roman" w:hAnsi="Times New Roman"/>
              </w:rPr>
              <w:t>Proposal TCR 16.67%; extended/local TCR 100.00%</w:t>
            </w:r>
          </w:p>
        </w:tc>
      </w:tr>
      <w:tr>
        <w:tc>
          <w:tcPr>
            <w:tcW w:type="dxa" w:w="3264"/>
          </w:tcPr>
          <w:p>
            <w:r>
              <w:rPr>
                <w:rFonts w:ascii="Times New Roman" w:hAnsi="Times New Roman"/>
              </w:rPr>
              <w:t>M6</w:t>
            </w:r>
          </w:p>
        </w:tc>
        <w:tc>
          <w:tcPr>
            <w:tcW w:type="dxa" w:w="3264"/>
          </w:tcPr>
          <w:p>
            <w:r>
              <w:rPr>
                <w:rFonts w:ascii="Times New Roman" w:hAnsi="Times New Roman"/>
              </w:rPr>
              <w:t>TtV</w:t>
            </w:r>
          </w:p>
        </w:tc>
        <w:tc>
          <w:tcPr>
            <w:tcW w:type="dxa" w:w="3264"/>
          </w:tcPr>
          <w:p>
            <w:r>
              <w:rPr>
                <w:rFonts w:ascii="Times New Roman" w:hAnsi="Times New Roman"/>
              </w:rPr>
              <w:t>Pipeline 16724.90 ms; representative average 1149.27 ms</w:t>
            </w:r>
          </w:p>
        </w:tc>
      </w:tr>
    </w:tbl>
    <w:p>
      <w:pPr>
        <w:jc w:val="center"/>
      </w:pPr>
      <w:r>
        <w:t>Table 1: Summary of evaluation metrics from the latest actual run.</w:t>
      </w:r>
    </w:p>
    <w:p>
      <w:r>
        <w:t>Overall, the actual results differ significantly from the placeholder text. The implemented pipeline evaluated 15 real ROS 2 repositories rather than three repositories with synthetic perturbations. It extracted 12 source-derived nodes and classified 106 real LLM output errors. The main observed limitations were hallucinated nodes, missing nodes, and substantial inter-model variation. Proposal-level automated coverage is currently limited because AS2FM category detection requires repo-specific behavior models, while the implemented local JANI-style adapter and static validator demonstrate full extended coverage over the six taxonomy categories.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