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1E905D" w14:textId="77777777" w:rsidR="00820305" w:rsidRDefault="00000000">
      <w:pPr>
        <w:pStyle w:val="Heading1"/>
      </w:pPr>
      <w:r>
        <w:t>Summary of Research Papers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6"/>
        <w:gridCol w:w="1089"/>
        <w:gridCol w:w="1022"/>
        <w:gridCol w:w="1072"/>
        <w:gridCol w:w="1167"/>
        <w:gridCol w:w="1742"/>
        <w:gridCol w:w="1688"/>
      </w:tblGrid>
      <w:tr w:rsidR="00820305" w14:paraId="21F2889C" w14:textId="77777777" w:rsidTr="0033650E">
        <w:trPr>
          <w:trHeight w:val="337"/>
        </w:trPr>
        <w:tc>
          <w:tcPr>
            <w:tcW w:w="944" w:type="dxa"/>
          </w:tcPr>
          <w:p w14:paraId="7F94E82C" w14:textId="77777777" w:rsidR="00820305" w:rsidRDefault="00000000">
            <w:r>
              <w:t>Name of Paper</w:t>
            </w:r>
          </w:p>
        </w:tc>
        <w:tc>
          <w:tcPr>
            <w:tcW w:w="956" w:type="dxa"/>
          </w:tcPr>
          <w:p w14:paraId="0E9BCD29" w14:textId="77777777" w:rsidR="00820305" w:rsidRDefault="00000000">
            <w:r>
              <w:t>Author</w:t>
            </w:r>
          </w:p>
        </w:tc>
        <w:tc>
          <w:tcPr>
            <w:tcW w:w="897" w:type="dxa"/>
          </w:tcPr>
          <w:p w14:paraId="0A1A4409" w14:textId="77777777" w:rsidR="00820305" w:rsidRDefault="00000000">
            <w:r>
              <w:t>Year of Publication</w:t>
            </w:r>
          </w:p>
        </w:tc>
        <w:tc>
          <w:tcPr>
            <w:tcW w:w="941" w:type="dxa"/>
          </w:tcPr>
          <w:p w14:paraId="2CB0D234" w14:textId="77777777" w:rsidR="00820305" w:rsidRDefault="00000000">
            <w:r>
              <w:t>Publication Name</w:t>
            </w:r>
          </w:p>
        </w:tc>
        <w:tc>
          <w:tcPr>
            <w:tcW w:w="1024" w:type="dxa"/>
          </w:tcPr>
          <w:p w14:paraId="167CF2EE" w14:textId="77777777" w:rsidR="00820305" w:rsidRDefault="00000000">
            <w:r>
              <w:t>Implemented System</w:t>
            </w:r>
          </w:p>
        </w:tc>
        <w:tc>
          <w:tcPr>
            <w:tcW w:w="1529" w:type="dxa"/>
          </w:tcPr>
          <w:p w14:paraId="5280465D" w14:textId="77777777" w:rsidR="00820305" w:rsidRDefault="00000000">
            <w:r>
              <w:t>Advantages/Features</w:t>
            </w:r>
          </w:p>
        </w:tc>
        <w:tc>
          <w:tcPr>
            <w:tcW w:w="1482" w:type="dxa"/>
          </w:tcPr>
          <w:p w14:paraId="1E183694" w14:textId="77777777" w:rsidR="00820305" w:rsidRDefault="00000000">
            <w:r>
              <w:t>Limitation/Research Gap</w:t>
            </w:r>
          </w:p>
        </w:tc>
      </w:tr>
      <w:tr w:rsidR="00820305" w14:paraId="0C240336" w14:textId="77777777" w:rsidTr="0033650E">
        <w:trPr>
          <w:trHeight w:val="1134"/>
        </w:trPr>
        <w:tc>
          <w:tcPr>
            <w:tcW w:w="944" w:type="dxa"/>
          </w:tcPr>
          <w:p w14:paraId="706F8F07" w14:textId="77777777" w:rsidR="00820305" w:rsidRDefault="00000000">
            <w:r>
              <w:t>Voicebox: Text-Guided Multilingual Universal Speech Generation at Scale</w:t>
            </w:r>
          </w:p>
        </w:tc>
        <w:tc>
          <w:tcPr>
            <w:tcW w:w="956" w:type="dxa"/>
          </w:tcPr>
          <w:p w14:paraId="02CEEEE4" w14:textId="77777777" w:rsidR="00820305" w:rsidRDefault="00000000">
            <w:r>
              <w:t>Le et al.</w:t>
            </w:r>
          </w:p>
        </w:tc>
        <w:tc>
          <w:tcPr>
            <w:tcW w:w="897" w:type="dxa"/>
          </w:tcPr>
          <w:p w14:paraId="57AF514E" w14:textId="77777777" w:rsidR="00820305" w:rsidRDefault="00000000">
            <w:r>
              <w:t>2023</w:t>
            </w:r>
          </w:p>
        </w:tc>
        <w:tc>
          <w:tcPr>
            <w:tcW w:w="941" w:type="dxa"/>
          </w:tcPr>
          <w:p w14:paraId="7BCF0B2E" w14:textId="77777777" w:rsidR="00820305" w:rsidRDefault="00000000">
            <w:r>
              <w:t>NeurIPS</w:t>
            </w:r>
          </w:p>
        </w:tc>
        <w:tc>
          <w:tcPr>
            <w:tcW w:w="1024" w:type="dxa"/>
          </w:tcPr>
          <w:p w14:paraId="50ECDF7E" w14:textId="77777777" w:rsidR="00820305" w:rsidRDefault="00000000">
            <w:r>
              <w:t>Generalized multilingual TTS and editing model</w:t>
            </w:r>
          </w:p>
        </w:tc>
        <w:tc>
          <w:tcPr>
            <w:tcW w:w="1529" w:type="dxa"/>
          </w:tcPr>
          <w:p w14:paraId="2A46C150" w14:textId="77777777" w:rsidR="00820305" w:rsidRDefault="00000000">
            <w:r>
              <w:t>Handles multilingual, denoising, and in-context TTS</w:t>
            </w:r>
          </w:p>
        </w:tc>
        <w:tc>
          <w:tcPr>
            <w:tcW w:w="1482" w:type="dxa"/>
          </w:tcPr>
          <w:p w14:paraId="7772DA0C" w14:textId="77777777" w:rsidR="00820305" w:rsidRDefault="00000000">
            <w:r>
              <w:t>Not specialized for real-time assistant deployment</w:t>
            </w:r>
          </w:p>
        </w:tc>
      </w:tr>
      <w:tr w:rsidR="00820305" w14:paraId="17AF51C9" w14:textId="77777777" w:rsidTr="0033650E">
        <w:trPr>
          <w:trHeight w:val="1245"/>
        </w:trPr>
        <w:tc>
          <w:tcPr>
            <w:tcW w:w="944" w:type="dxa"/>
          </w:tcPr>
          <w:p w14:paraId="5C9BE40A" w14:textId="77777777" w:rsidR="00820305" w:rsidRDefault="00000000">
            <w:r>
              <w:t>Neural Codec Language Models are Zero-Shot Text-to-Speech (VALL-E)</w:t>
            </w:r>
          </w:p>
        </w:tc>
        <w:tc>
          <w:tcPr>
            <w:tcW w:w="956" w:type="dxa"/>
          </w:tcPr>
          <w:p w14:paraId="63884107" w14:textId="77777777" w:rsidR="00820305" w:rsidRDefault="00000000">
            <w:r>
              <w:t>Wang et al.</w:t>
            </w:r>
          </w:p>
        </w:tc>
        <w:tc>
          <w:tcPr>
            <w:tcW w:w="897" w:type="dxa"/>
          </w:tcPr>
          <w:p w14:paraId="7D338ADF" w14:textId="77777777" w:rsidR="00820305" w:rsidRDefault="00000000">
            <w:r>
              <w:t>2023</w:t>
            </w:r>
          </w:p>
        </w:tc>
        <w:tc>
          <w:tcPr>
            <w:tcW w:w="941" w:type="dxa"/>
          </w:tcPr>
          <w:p w14:paraId="3D638B57" w14:textId="77777777" w:rsidR="00820305" w:rsidRDefault="00000000">
            <w:r>
              <w:t>Microsoft / arXiv</w:t>
            </w:r>
          </w:p>
        </w:tc>
        <w:tc>
          <w:tcPr>
            <w:tcW w:w="1024" w:type="dxa"/>
          </w:tcPr>
          <w:p w14:paraId="2EE56C09" w14:textId="77777777" w:rsidR="00820305" w:rsidRDefault="00000000">
            <w:r>
              <w:t>Neural codec model for natural speech generation</w:t>
            </w:r>
          </w:p>
        </w:tc>
        <w:tc>
          <w:tcPr>
            <w:tcW w:w="1529" w:type="dxa"/>
          </w:tcPr>
          <w:p w14:paraId="326E7089" w14:textId="77777777" w:rsidR="00820305" w:rsidRDefault="00000000">
            <w:r>
              <w:t>Produces high-quality, speaker-specific TTS; low data requirement</w:t>
            </w:r>
          </w:p>
        </w:tc>
        <w:tc>
          <w:tcPr>
            <w:tcW w:w="1482" w:type="dxa"/>
          </w:tcPr>
          <w:p w14:paraId="51DFF463" w14:textId="77777777" w:rsidR="00820305" w:rsidRDefault="00000000">
            <w:r>
              <w:t>High computational cost; limited open-source access</w:t>
            </w:r>
          </w:p>
        </w:tc>
      </w:tr>
      <w:tr w:rsidR="00820305" w14:paraId="331C7654" w14:textId="77777777" w:rsidTr="0033650E">
        <w:trPr>
          <w:trHeight w:val="1361"/>
        </w:trPr>
        <w:tc>
          <w:tcPr>
            <w:tcW w:w="944" w:type="dxa"/>
          </w:tcPr>
          <w:p w14:paraId="3BE13B00" w14:textId="77777777" w:rsidR="00820305" w:rsidRDefault="00000000">
            <w:r>
              <w:t>User Experience and Usability of Voice User Interfaces: A Systematic Literature Review</w:t>
            </w:r>
          </w:p>
        </w:tc>
        <w:tc>
          <w:tcPr>
            <w:tcW w:w="956" w:type="dxa"/>
          </w:tcPr>
          <w:p w14:paraId="4AA14491" w14:textId="77777777" w:rsidR="00820305" w:rsidRDefault="00000000">
            <w:r>
              <w:t>A. M. Deshmukh, R. Chalmeta</w:t>
            </w:r>
          </w:p>
        </w:tc>
        <w:tc>
          <w:tcPr>
            <w:tcW w:w="897" w:type="dxa"/>
          </w:tcPr>
          <w:p w14:paraId="27D05927" w14:textId="77777777" w:rsidR="00820305" w:rsidRDefault="00000000">
            <w:r>
              <w:t>2024</w:t>
            </w:r>
          </w:p>
        </w:tc>
        <w:tc>
          <w:tcPr>
            <w:tcW w:w="941" w:type="dxa"/>
          </w:tcPr>
          <w:p w14:paraId="7EF8E4E9" w14:textId="77777777" w:rsidR="00820305" w:rsidRDefault="00000000">
            <w:r>
              <w:t>Information (MDPI)</w:t>
            </w:r>
          </w:p>
        </w:tc>
        <w:tc>
          <w:tcPr>
            <w:tcW w:w="1024" w:type="dxa"/>
          </w:tcPr>
          <w:p w14:paraId="2D72C43E" w14:textId="77777777" w:rsidR="00820305" w:rsidRDefault="00000000">
            <w:r>
              <w:t>Review of voice UI design studies and usability challenges</w:t>
            </w:r>
          </w:p>
        </w:tc>
        <w:tc>
          <w:tcPr>
            <w:tcW w:w="1529" w:type="dxa"/>
          </w:tcPr>
          <w:p w14:paraId="26DF5345" w14:textId="77777777" w:rsidR="00820305" w:rsidRDefault="00000000">
            <w:r>
              <w:t>Identifies usability factors, personalization importance, and accessibility gaps</w:t>
            </w:r>
          </w:p>
        </w:tc>
        <w:tc>
          <w:tcPr>
            <w:tcW w:w="1482" w:type="dxa"/>
          </w:tcPr>
          <w:p w14:paraId="608A4240" w14:textId="77777777" w:rsidR="00820305" w:rsidRDefault="00000000">
            <w:r>
              <w:t>No implementation; focuses mainly on survey data</w:t>
            </w:r>
          </w:p>
        </w:tc>
      </w:tr>
      <w:tr w:rsidR="00820305" w14:paraId="57B32B90" w14:textId="77777777" w:rsidTr="0033650E">
        <w:trPr>
          <w:trHeight w:val="1134"/>
        </w:trPr>
        <w:tc>
          <w:tcPr>
            <w:tcW w:w="944" w:type="dxa"/>
          </w:tcPr>
          <w:p w14:paraId="65F44FA0" w14:textId="77777777" w:rsidR="00820305" w:rsidRDefault="00000000">
            <w:r>
              <w:t xml:space="preserve">Desktop Voice Assistant for Elderly People using Feed-Forward Neural </w:t>
            </w:r>
            <w:r>
              <w:lastRenderedPageBreak/>
              <w:t>Network for Intent Recognition</w:t>
            </w:r>
          </w:p>
        </w:tc>
        <w:tc>
          <w:tcPr>
            <w:tcW w:w="956" w:type="dxa"/>
          </w:tcPr>
          <w:p w14:paraId="689FA888" w14:textId="77777777" w:rsidR="00820305" w:rsidRDefault="00000000">
            <w:r>
              <w:lastRenderedPageBreak/>
              <w:t>Kashish Garg, Taj Alam</w:t>
            </w:r>
          </w:p>
        </w:tc>
        <w:tc>
          <w:tcPr>
            <w:tcW w:w="897" w:type="dxa"/>
          </w:tcPr>
          <w:p w14:paraId="50114977" w14:textId="77777777" w:rsidR="00820305" w:rsidRDefault="00000000">
            <w:r>
              <w:t>2024</w:t>
            </w:r>
          </w:p>
        </w:tc>
        <w:tc>
          <w:tcPr>
            <w:tcW w:w="941" w:type="dxa"/>
          </w:tcPr>
          <w:p w14:paraId="423C2ED3" w14:textId="77777777" w:rsidR="00820305" w:rsidRDefault="00000000">
            <w:r>
              <w:t>IC3 Conference</w:t>
            </w:r>
          </w:p>
        </w:tc>
        <w:tc>
          <w:tcPr>
            <w:tcW w:w="1024" w:type="dxa"/>
          </w:tcPr>
          <w:p w14:paraId="19DD3144" w14:textId="77777777" w:rsidR="00820305" w:rsidRDefault="00000000">
            <w:r>
              <w:t xml:space="preserve">Feed-forward neural network–based intent recognition model for desktop </w:t>
            </w:r>
            <w:r>
              <w:lastRenderedPageBreak/>
              <w:t>commands</w:t>
            </w:r>
          </w:p>
        </w:tc>
        <w:tc>
          <w:tcPr>
            <w:tcW w:w="1529" w:type="dxa"/>
          </w:tcPr>
          <w:p w14:paraId="55B7C4A9" w14:textId="77777777" w:rsidR="00820305" w:rsidRDefault="00000000">
            <w:r>
              <w:lastRenderedPageBreak/>
              <w:t>Achieved ~78.5% intent accuracy; tailored for elderly users</w:t>
            </w:r>
          </w:p>
        </w:tc>
        <w:tc>
          <w:tcPr>
            <w:tcW w:w="1482" w:type="dxa"/>
          </w:tcPr>
          <w:p w14:paraId="060061C3" w14:textId="77777777" w:rsidR="00820305" w:rsidRDefault="00000000">
            <w:r>
              <w:t>Dataset limited; lacks multilingual and adaptive learning</w:t>
            </w:r>
          </w:p>
        </w:tc>
      </w:tr>
      <w:tr w:rsidR="00820305" w14:paraId="4957D283" w14:textId="77777777" w:rsidTr="0033650E">
        <w:trPr>
          <w:trHeight w:val="791"/>
        </w:trPr>
        <w:tc>
          <w:tcPr>
            <w:tcW w:w="944" w:type="dxa"/>
          </w:tcPr>
          <w:p w14:paraId="0F9B1639" w14:textId="77777777" w:rsidR="00820305" w:rsidRDefault="00000000">
            <w:r>
              <w:t>Execution-guided Within-Prompt Code Generation</w:t>
            </w:r>
          </w:p>
        </w:tc>
        <w:tc>
          <w:tcPr>
            <w:tcW w:w="956" w:type="dxa"/>
          </w:tcPr>
          <w:p w14:paraId="4BB03331" w14:textId="77777777" w:rsidR="00820305" w:rsidRDefault="00000000">
            <w:r>
              <w:t>Gust Verbruggen, Ashish</w:t>
            </w:r>
          </w:p>
        </w:tc>
        <w:tc>
          <w:tcPr>
            <w:tcW w:w="897" w:type="dxa"/>
          </w:tcPr>
          <w:p w14:paraId="41A8B844" w14:textId="77777777" w:rsidR="00820305" w:rsidRDefault="00000000">
            <w:r>
              <w:t>2025</w:t>
            </w:r>
          </w:p>
        </w:tc>
        <w:tc>
          <w:tcPr>
            <w:tcW w:w="941" w:type="dxa"/>
          </w:tcPr>
          <w:p w14:paraId="00B1DDE7" w14:textId="77777777" w:rsidR="00820305" w:rsidRDefault="00000000">
            <w:r>
              <w:t>ICLR 2025 Conference</w:t>
            </w:r>
          </w:p>
        </w:tc>
        <w:tc>
          <w:tcPr>
            <w:tcW w:w="1024" w:type="dxa"/>
          </w:tcPr>
          <w:p w14:paraId="429A8830" w14:textId="77777777" w:rsidR="00820305" w:rsidRDefault="00000000">
            <w:r>
              <w:t>A within-prompt search system</w:t>
            </w:r>
          </w:p>
        </w:tc>
        <w:tc>
          <w:tcPr>
            <w:tcW w:w="1529" w:type="dxa"/>
          </w:tcPr>
          <w:p w14:paraId="3D6765CB" w14:textId="77777777" w:rsidR="00820305" w:rsidRDefault="00000000">
            <w:r>
              <w:t>Combines code generation</w:t>
            </w:r>
          </w:p>
        </w:tc>
        <w:tc>
          <w:tcPr>
            <w:tcW w:w="1482" w:type="dxa"/>
          </w:tcPr>
          <w:p w14:paraId="42B8DF35" w14:textId="77777777" w:rsidR="00820305" w:rsidRDefault="00000000">
            <w:r>
              <w:t>Focused on straight-line code generation</w:t>
            </w:r>
          </w:p>
        </w:tc>
      </w:tr>
    </w:tbl>
    <w:p w14:paraId="17EDDCC7" w14:textId="77777777" w:rsidR="009360EA" w:rsidRDefault="009360EA"/>
    <w:sectPr w:rsidR="009360E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43674902">
    <w:abstractNumId w:val="8"/>
  </w:num>
  <w:num w:numId="2" w16cid:durableId="322205888">
    <w:abstractNumId w:val="6"/>
  </w:num>
  <w:num w:numId="3" w16cid:durableId="1898468872">
    <w:abstractNumId w:val="5"/>
  </w:num>
  <w:num w:numId="4" w16cid:durableId="1904018845">
    <w:abstractNumId w:val="4"/>
  </w:num>
  <w:num w:numId="5" w16cid:durableId="149952727">
    <w:abstractNumId w:val="7"/>
  </w:num>
  <w:num w:numId="6" w16cid:durableId="268776228">
    <w:abstractNumId w:val="3"/>
  </w:num>
  <w:num w:numId="7" w16cid:durableId="1375540997">
    <w:abstractNumId w:val="2"/>
  </w:num>
  <w:num w:numId="8" w16cid:durableId="888027956">
    <w:abstractNumId w:val="1"/>
  </w:num>
  <w:num w:numId="9" w16cid:durableId="1315717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650E"/>
    <w:rsid w:val="00820305"/>
    <w:rsid w:val="009360EA"/>
    <w:rsid w:val="00AA1D8D"/>
    <w:rsid w:val="00B47730"/>
    <w:rsid w:val="00CB0664"/>
    <w:rsid w:val="00F7280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EEB7CBE5-0B07-42B0-9E1C-AAF216272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Pratham Dagur</cp:lastModifiedBy>
  <cp:revision>2</cp:revision>
  <dcterms:created xsi:type="dcterms:W3CDTF">2013-12-23T23:15:00Z</dcterms:created>
  <dcterms:modified xsi:type="dcterms:W3CDTF">2025-10-30T07:10:00Z</dcterms:modified>
  <cp:category/>
</cp:coreProperties>
</file>