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Customer Intelligence &amp; Sales Analytics</w:t>
      </w:r>
    </w:p>
    <w:p>
      <w:pPr>
        <w:pStyle w:val="Heading1"/>
      </w:pPr>
      <w:r>
        <w:t>Executive Summary</w:t>
      </w:r>
    </w:p>
    <w:p>
      <w:r>
        <w:t>This report summarizes the findings from the analysis of historical e-commerce transaction data. The analysis covers data quality, sales and revenue trends, geographic distribution, product performance, and customer segmentation via RFM and K-Means clustering.</w:t>
      </w:r>
    </w:p>
    <w:p>
      <w:pPr>
        <w:pStyle w:val="Heading1"/>
      </w:pPr>
      <w:r>
        <w:t>Key Performance Indicators (KPIs)</w:t>
      </w:r>
    </w:p>
    <w:p>
      <w:r>
        <w:t>A high-level summary of the yearly KPIs indicates significant transaction volume and revenue over the analyzed period.</w:t>
      </w:r>
    </w:p>
    <w:p>
      <w:pPr>
        <w:pStyle w:val="Heading1"/>
      </w:pPr>
      <w:r>
        <w:t>Customer Segmentation (RFM + K-Means)</w:t>
      </w:r>
    </w:p>
    <w:p>
      <w:r>
        <w:t>Customers were segmented using Recency, Frequency, and Monetary (RFM) analysis, followed by K-Means clustering to discover natural groupings. Four distinct clusters were identified, highlighting variations in customer lifetime value.</w:t>
      </w:r>
    </w:p>
    <w:p>
      <w:r>
        <w:drawing>
          <wp:inline xmlns:a="http://schemas.openxmlformats.org/drawingml/2006/main" xmlns:pic="http://schemas.openxmlformats.org/drawingml/2006/picture">
            <wp:extent cx="5486400" cy="3543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kmeans_clu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K-Means Customer Clusters (Recency vs Monetary)</w:t>
      </w:r>
    </w:p>
    <w:p>
      <w:pPr>
        <w:pStyle w:val="Heading1"/>
      </w:pPr>
      <w:r>
        <w:t>Conclusions and Recommendations</w:t>
      </w:r>
    </w:p>
    <w:p>
      <w:r>
        <w:t>- Increase targeted marketing toward high-value segments identified via RFM.</w:t>
        <w:br/>
        <w:t>- Leverage geographic insights for targeted expansion (e.g., international markets with high AOV).</w:t>
        <w:br/>
        <w:t>- Monitor return rates for high-volume products to reduce revenue leakage.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