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29E0" w:rsidRPr="00750EE9" w:rsidRDefault="00EF5F03" w:rsidP="00750EE9">
      <w:pPr>
        <w:jc w:val="center"/>
        <w:rPr>
          <w:b/>
        </w:rPr>
      </w:pPr>
      <w:r w:rsidRPr="00750EE9">
        <w:rPr>
          <w:b/>
        </w:rPr>
        <w:t>ISMG 6820_Investment_Analysis</w:t>
      </w:r>
    </w:p>
    <w:p w:rsidR="00EF5F03" w:rsidRDefault="00EF5F03" w:rsidP="00750EE9">
      <w:pPr>
        <w:jc w:val="center"/>
        <w:rPr>
          <w:b/>
        </w:rPr>
      </w:pPr>
      <w:r w:rsidRPr="00750EE9">
        <w:rPr>
          <w:b/>
        </w:rPr>
        <w:t>10</w:t>
      </w:r>
      <w:r w:rsidR="00655E8B">
        <w:rPr>
          <w:b/>
        </w:rPr>
        <w:t>9</w:t>
      </w:r>
      <w:r w:rsidRPr="00750EE9">
        <w:rPr>
          <w:b/>
        </w:rPr>
        <w:t>171717</w:t>
      </w:r>
      <w:r w:rsidR="00750EE9" w:rsidRPr="00750EE9">
        <w:rPr>
          <w:b/>
        </w:rPr>
        <w:t>_Prathamesh_Dhapodkar</w:t>
      </w:r>
    </w:p>
    <w:p w:rsidR="00685BC4" w:rsidRDefault="004571F3" w:rsidP="00FC43AA">
      <w:pPr>
        <w:jc w:val="both"/>
      </w:pPr>
      <w:r>
        <w:t>Net present value i</w:t>
      </w:r>
      <w:r w:rsidR="000A58D6">
        <w:t>s</w:t>
      </w:r>
      <w:r>
        <w:t xml:space="preserve"> the difference between the cash outflow and the cash inflow over </w:t>
      </w:r>
      <w:r w:rsidR="00685BC4">
        <w:t>a period</w:t>
      </w:r>
      <w:r>
        <w:t>.</w:t>
      </w:r>
    </w:p>
    <w:p w:rsidR="00B21E5A" w:rsidRDefault="004571F3" w:rsidP="00FC43AA">
      <w:pPr>
        <w:jc w:val="both"/>
        <w:rPr>
          <w:b/>
        </w:rPr>
      </w:pPr>
      <w:r>
        <w:t xml:space="preserve">Cash Outflow is the amount that is spent on the project. It consists of all the investments that are made on the project including fixed and variable costs and is always negative. </w:t>
      </w:r>
      <w:r w:rsidR="00685BC4">
        <w:t>Cash Inflow</w:t>
      </w:r>
      <w:r>
        <w:t xml:space="preserve"> is the amount received in terms of revenue.</w:t>
      </w:r>
      <w:r w:rsidR="00685BC4">
        <w:t xml:space="preserve"> It is the profit received by the company.</w:t>
      </w:r>
      <w:r w:rsidR="004A15B8">
        <w:t xml:space="preserve"> A positive NPV value indicates that a project can be implemented and is worthy of investment. While a negative NPV value indicates that it is risky to invest on that project. The task asks us to compare two project</w:t>
      </w:r>
      <w:r w:rsidR="00650E4D">
        <w:t>s</w:t>
      </w:r>
      <w:r w:rsidR="004A15B8">
        <w:t xml:space="preserve"> where the different investment costs are given. The Revenue is also predicted using the historical sales data. By mathematically comparing the cash inflow and cash outflow if the two projects, </w:t>
      </w:r>
      <w:r w:rsidR="004A15B8" w:rsidRPr="004A15B8">
        <w:rPr>
          <w:b/>
        </w:rPr>
        <w:t xml:space="preserve">Project 1 is a better investment decision. </w:t>
      </w:r>
      <w:r w:rsidR="004A15B8">
        <w:rPr>
          <w:b/>
        </w:rPr>
        <w:t xml:space="preserve"> </w:t>
      </w:r>
    </w:p>
    <w:p w:rsidR="00B21E5A" w:rsidRDefault="00650E4D" w:rsidP="00FC43AA">
      <w:pPr>
        <w:jc w:val="both"/>
        <w:rPr>
          <w:rFonts w:ascii="Calibri" w:eastAsia="Times New Roman" w:hAnsi="Calibri" w:cs="Calibri"/>
        </w:rPr>
      </w:pPr>
      <w:r>
        <w:t>Why? By a</w:t>
      </w:r>
      <w:r w:rsidR="00B21E5A">
        <w:t xml:space="preserve">ssuming the Inflation Rate to be 0.0244%, the NPV value for project 1 is </w:t>
      </w:r>
      <w:r w:rsidR="00B21E5A" w:rsidRPr="00B21E5A">
        <w:rPr>
          <w:rFonts w:ascii="Calibri" w:eastAsia="Times New Roman" w:hAnsi="Calibri" w:cs="Calibri"/>
          <w:color w:val="000000"/>
        </w:rPr>
        <w:t>$3,905,168.79</w:t>
      </w:r>
      <w:r w:rsidR="00B21E5A">
        <w:rPr>
          <w:rFonts w:ascii="Calibri" w:eastAsia="Times New Roman" w:hAnsi="Calibri" w:cs="Calibri"/>
          <w:color w:val="000000"/>
        </w:rPr>
        <w:t>. Here the NPV is positive.  Considering the same inflation rate i</w:t>
      </w:r>
      <w:r>
        <w:rPr>
          <w:rFonts w:ascii="Calibri" w:eastAsia="Times New Roman" w:hAnsi="Calibri" w:cs="Calibri"/>
          <w:color w:val="000000"/>
        </w:rPr>
        <w:t>.</w:t>
      </w:r>
      <w:r w:rsidR="00B21E5A">
        <w:rPr>
          <w:rFonts w:ascii="Calibri" w:eastAsia="Times New Roman" w:hAnsi="Calibri" w:cs="Calibri"/>
          <w:color w:val="000000"/>
        </w:rPr>
        <w:t>e</w:t>
      </w:r>
      <w:r>
        <w:rPr>
          <w:rFonts w:ascii="Calibri" w:eastAsia="Times New Roman" w:hAnsi="Calibri" w:cs="Calibri"/>
          <w:color w:val="000000"/>
        </w:rPr>
        <w:t>.</w:t>
      </w:r>
      <w:r w:rsidR="00B21E5A">
        <w:rPr>
          <w:rFonts w:ascii="Calibri" w:eastAsia="Times New Roman" w:hAnsi="Calibri" w:cs="Calibri"/>
          <w:color w:val="000000"/>
        </w:rPr>
        <w:t xml:space="preserve"> 0.0244% the NPV value for project 2 turns out to be </w:t>
      </w:r>
      <w:r w:rsidR="00B21E5A" w:rsidRPr="00B21E5A">
        <w:rPr>
          <w:rFonts w:ascii="Calibri" w:eastAsia="Times New Roman" w:hAnsi="Calibri" w:cs="Calibri"/>
          <w:color w:val="FF0000"/>
        </w:rPr>
        <w:t>($102,941,585.48)</w:t>
      </w:r>
      <w:r w:rsidR="00B21E5A">
        <w:rPr>
          <w:rFonts w:ascii="Calibri" w:eastAsia="Times New Roman" w:hAnsi="Calibri" w:cs="Calibri"/>
          <w:color w:val="FF0000"/>
        </w:rPr>
        <w:t xml:space="preserve"> </w:t>
      </w:r>
      <w:r w:rsidR="00B21E5A">
        <w:rPr>
          <w:rFonts w:ascii="Calibri" w:eastAsia="Times New Roman" w:hAnsi="Calibri" w:cs="Calibri"/>
        </w:rPr>
        <w:t xml:space="preserve">which is a negative value. If we keenly observe the </w:t>
      </w:r>
      <w:r>
        <w:rPr>
          <w:rFonts w:ascii="Calibri" w:eastAsia="Times New Roman" w:hAnsi="Calibri" w:cs="Calibri"/>
        </w:rPr>
        <w:t>calculations,</w:t>
      </w:r>
      <w:r w:rsidR="00B21E5A">
        <w:rPr>
          <w:rFonts w:ascii="Calibri" w:eastAsia="Times New Roman" w:hAnsi="Calibri" w:cs="Calibri"/>
        </w:rPr>
        <w:t xml:space="preserve"> we can see that in the </w:t>
      </w:r>
      <w:r w:rsidR="00C103D7">
        <w:rPr>
          <w:rFonts w:ascii="Calibri" w:eastAsia="Times New Roman" w:hAnsi="Calibri" w:cs="Calibri"/>
        </w:rPr>
        <w:t>P</w:t>
      </w:r>
      <w:r w:rsidR="00B21E5A">
        <w:rPr>
          <w:rFonts w:ascii="Calibri" w:eastAsia="Times New Roman" w:hAnsi="Calibri" w:cs="Calibri"/>
        </w:rPr>
        <w:t>roject 2</w:t>
      </w:r>
      <w:r>
        <w:rPr>
          <w:rFonts w:ascii="Calibri" w:eastAsia="Times New Roman" w:hAnsi="Calibri" w:cs="Calibri"/>
        </w:rPr>
        <w:t xml:space="preserve"> that</w:t>
      </w:r>
      <w:r w:rsidR="00B21E5A">
        <w:rPr>
          <w:rFonts w:ascii="Calibri" w:eastAsia="Times New Roman" w:hAnsi="Calibri" w:cs="Calibri"/>
        </w:rPr>
        <w:t xml:space="preserve"> the </w:t>
      </w:r>
      <w:r w:rsidR="00C103D7">
        <w:rPr>
          <w:rFonts w:ascii="Calibri" w:eastAsia="Times New Roman" w:hAnsi="Calibri" w:cs="Calibri"/>
        </w:rPr>
        <w:t xml:space="preserve">cash outflow from </w:t>
      </w:r>
      <w:r w:rsidR="00B21E5A">
        <w:rPr>
          <w:rFonts w:ascii="Calibri" w:eastAsia="Times New Roman" w:hAnsi="Calibri" w:cs="Calibri"/>
        </w:rPr>
        <w:t xml:space="preserve">the project is too high. </w:t>
      </w:r>
      <w:r w:rsidR="00C103D7">
        <w:rPr>
          <w:rFonts w:ascii="Calibri" w:eastAsia="Times New Roman" w:hAnsi="Calibri" w:cs="Calibri"/>
        </w:rPr>
        <w:t>After the release of the Product 2 i</w:t>
      </w:r>
      <w:r>
        <w:rPr>
          <w:rFonts w:ascii="Calibri" w:eastAsia="Times New Roman" w:hAnsi="Calibri" w:cs="Calibri"/>
        </w:rPr>
        <w:t>.</w:t>
      </w:r>
      <w:r w:rsidR="00C103D7">
        <w:rPr>
          <w:rFonts w:ascii="Calibri" w:eastAsia="Times New Roman" w:hAnsi="Calibri" w:cs="Calibri"/>
        </w:rPr>
        <w:t>e</w:t>
      </w:r>
      <w:r>
        <w:rPr>
          <w:rFonts w:ascii="Calibri" w:eastAsia="Times New Roman" w:hAnsi="Calibri" w:cs="Calibri"/>
        </w:rPr>
        <w:t>.</w:t>
      </w:r>
      <w:r w:rsidR="00C103D7">
        <w:rPr>
          <w:rFonts w:ascii="Calibri" w:eastAsia="Times New Roman" w:hAnsi="Calibri" w:cs="Calibri"/>
        </w:rPr>
        <w:t xml:space="preserve"> “777”, The effect of the new product release, decreases the sales of the currently existing phones. This in</w:t>
      </w:r>
      <w:r>
        <w:rPr>
          <w:rFonts w:ascii="Calibri" w:eastAsia="Times New Roman" w:hAnsi="Calibri" w:cs="Calibri"/>
        </w:rPr>
        <w:t xml:space="preserve"> </w:t>
      </w:r>
      <w:r w:rsidR="00C103D7">
        <w:rPr>
          <w:rFonts w:ascii="Calibri" w:eastAsia="Times New Roman" w:hAnsi="Calibri" w:cs="Calibri"/>
        </w:rPr>
        <w:t>turn affects the revenue. Hence the cash inflow is very less as compared to the cash outflow of the project. Hence it is highly risky to implement Product 2.</w:t>
      </w:r>
      <w:r>
        <w:rPr>
          <w:rFonts w:ascii="Calibri" w:eastAsia="Times New Roman" w:hAnsi="Calibri" w:cs="Calibri"/>
        </w:rPr>
        <w:t xml:space="preserve"> We can also see the maintenance and revenue variations in graph1 and graph2.</w:t>
      </w:r>
      <w:r w:rsidR="00C103D7">
        <w:rPr>
          <w:rFonts w:ascii="Calibri" w:eastAsia="Times New Roman" w:hAnsi="Calibri" w:cs="Calibri"/>
        </w:rPr>
        <w:t xml:space="preserve"> </w:t>
      </w:r>
    </w:p>
    <w:p w:rsidR="00B21E5A" w:rsidRDefault="00C103D7" w:rsidP="00FC43AA">
      <w:pPr>
        <w:jc w:val="both"/>
        <w:rPr>
          <w:rFonts w:ascii="Calibri" w:eastAsia="Times New Roman" w:hAnsi="Calibri" w:cs="Calibri"/>
        </w:rPr>
      </w:pPr>
      <w:r>
        <w:rPr>
          <w:rFonts w:ascii="Calibri" w:eastAsia="Times New Roman" w:hAnsi="Calibri" w:cs="Calibri"/>
        </w:rPr>
        <w:t xml:space="preserve">If we generally observe the market trends of phones in the current market, we see that the companies make it a point to keep upgrading their existing </w:t>
      </w:r>
      <w:r w:rsidR="002A7D71">
        <w:rPr>
          <w:rFonts w:ascii="Calibri" w:eastAsia="Times New Roman" w:hAnsi="Calibri" w:cs="Calibri"/>
        </w:rPr>
        <w:t>phones</w:t>
      </w:r>
      <w:r>
        <w:rPr>
          <w:rFonts w:ascii="Calibri" w:eastAsia="Times New Roman" w:hAnsi="Calibri" w:cs="Calibri"/>
        </w:rPr>
        <w:t>. With each new upgrade, the existing customer base</w:t>
      </w:r>
      <w:r w:rsidR="002A7D71">
        <w:rPr>
          <w:rFonts w:ascii="Calibri" w:eastAsia="Times New Roman" w:hAnsi="Calibri" w:cs="Calibri"/>
        </w:rPr>
        <w:t xml:space="preserve"> is retain</w:t>
      </w:r>
      <w:r w:rsidR="00650E4D">
        <w:rPr>
          <w:rFonts w:ascii="Calibri" w:eastAsia="Times New Roman" w:hAnsi="Calibri" w:cs="Calibri"/>
        </w:rPr>
        <w:t>ed,</w:t>
      </w:r>
      <w:r>
        <w:rPr>
          <w:rFonts w:ascii="Calibri" w:eastAsia="Times New Roman" w:hAnsi="Calibri" w:cs="Calibri"/>
        </w:rPr>
        <w:t xml:space="preserve"> and the new customer base is attracted</w:t>
      </w:r>
      <w:r w:rsidR="002A7D71">
        <w:rPr>
          <w:rFonts w:ascii="Calibri" w:eastAsia="Times New Roman" w:hAnsi="Calibri" w:cs="Calibri"/>
        </w:rPr>
        <w:t xml:space="preserve"> towards company’s product line</w:t>
      </w:r>
      <w:r>
        <w:rPr>
          <w:rFonts w:ascii="Calibri" w:eastAsia="Times New Roman" w:hAnsi="Calibri" w:cs="Calibri"/>
        </w:rPr>
        <w:t xml:space="preserve">. </w:t>
      </w:r>
      <w:r w:rsidR="002A7D71">
        <w:rPr>
          <w:rFonts w:ascii="Calibri" w:eastAsia="Times New Roman" w:hAnsi="Calibri" w:cs="Calibri"/>
        </w:rPr>
        <w:t xml:space="preserve">By the release of the </w:t>
      </w:r>
      <w:proofErr w:type="spellStart"/>
      <w:r w:rsidR="002A7D71">
        <w:rPr>
          <w:rFonts w:ascii="Calibri" w:eastAsia="Times New Roman" w:hAnsi="Calibri" w:cs="Calibri"/>
        </w:rPr>
        <w:t>Goloxy</w:t>
      </w:r>
      <w:proofErr w:type="spellEnd"/>
      <w:r w:rsidR="002A7D71">
        <w:rPr>
          <w:rFonts w:ascii="Calibri" w:eastAsia="Times New Roman" w:hAnsi="Calibri" w:cs="Calibri"/>
        </w:rPr>
        <w:t xml:space="preserve"> Note 10, the company will attract a lot of customers who have previously used </w:t>
      </w:r>
      <w:proofErr w:type="spellStart"/>
      <w:r w:rsidR="002A7D71">
        <w:rPr>
          <w:rFonts w:ascii="Calibri" w:eastAsia="Times New Roman" w:hAnsi="Calibri" w:cs="Calibri"/>
        </w:rPr>
        <w:t>Goloxy</w:t>
      </w:r>
      <w:proofErr w:type="spellEnd"/>
      <w:r w:rsidR="002A7D71">
        <w:rPr>
          <w:rFonts w:ascii="Calibri" w:eastAsia="Times New Roman" w:hAnsi="Calibri" w:cs="Calibri"/>
        </w:rPr>
        <w:t xml:space="preserve"> phones and the customers who want to try </w:t>
      </w:r>
      <w:proofErr w:type="spellStart"/>
      <w:r w:rsidR="002A7D71">
        <w:rPr>
          <w:rFonts w:ascii="Calibri" w:eastAsia="Times New Roman" w:hAnsi="Calibri" w:cs="Calibri"/>
        </w:rPr>
        <w:t>Goloxy</w:t>
      </w:r>
      <w:proofErr w:type="spellEnd"/>
      <w:r w:rsidR="002A7D71">
        <w:rPr>
          <w:rFonts w:ascii="Calibri" w:eastAsia="Times New Roman" w:hAnsi="Calibri" w:cs="Calibri"/>
        </w:rPr>
        <w:t xml:space="preserve"> Note 10. This is one point to be considered which makes Project 1 successful. Also</w:t>
      </w:r>
      <w:r w:rsidR="00650E4D">
        <w:rPr>
          <w:rFonts w:ascii="Calibri" w:eastAsia="Times New Roman" w:hAnsi="Calibri" w:cs="Calibri"/>
        </w:rPr>
        <w:t>,</w:t>
      </w:r>
      <w:r w:rsidR="002A7D71">
        <w:rPr>
          <w:rFonts w:ascii="Calibri" w:eastAsia="Times New Roman" w:hAnsi="Calibri" w:cs="Calibri"/>
        </w:rPr>
        <w:t xml:space="preserve"> the company is adopting the concept of </w:t>
      </w:r>
      <w:r w:rsidR="008561A4">
        <w:rPr>
          <w:rFonts w:ascii="Calibri" w:eastAsia="Times New Roman" w:hAnsi="Calibri" w:cs="Calibri"/>
        </w:rPr>
        <w:t xml:space="preserve">“Complete on Cost” by setting the price of the product nominal. If we compare the project 2 product “777”, the price of the product is double the price of product 1, which all users cannot afford. The price of product 2 is </w:t>
      </w:r>
      <w:r w:rsidR="00251E50">
        <w:rPr>
          <w:rFonts w:ascii="Calibri" w:eastAsia="Times New Roman" w:hAnsi="Calibri" w:cs="Calibri"/>
        </w:rPr>
        <w:t>$25</w:t>
      </w:r>
      <w:r w:rsidR="008561A4">
        <w:rPr>
          <w:rFonts w:ascii="Calibri" w:eastAsia="Times New Roman" w:hAnsi="Calibri" w:cs="Calibri"/>
        </w:rPr>
        <w:t xml:space="preserve">00 which may not be acceptable by the market. There may be many products in the market which provides enhanced features with a lower cost. Hence the product 2 – “777”, will not attract many customers. </w:t>
      </w:r>
    </w:p>
    <w:p w:rsidR="008561A4" w:rsidRDefault="008561A4" w:rsidP="00FC43AA">
      <w:pPr>
        <w:jc w:val="both"/>
        <w:rPr>
          <w:rFonts w:ascii="Calibri" w:eastAsia="Times New Roman" w:hAnsi="Calibri" w:cs="Calibri"/>
        </w:rPr>
      </w:pPr>
      <w:r>
        <w:rPr>
          <w:rFonts w:ascii="Calibri" w:eastAsia="Times New Roman" w:hAnsi="Calibri" w:cs="Calibri"/>
        </w:rPr>
        <w:t>Also</w:t>
      </w:r>
      <w:r w:rsidR="00251E50">
        <w:rPr>
          <w:rFonts w:ascii="Calibri" w:eastAsia="Times New Roman" w:hAnsi="Calibri" w:cs="Calibri"/>
        </w:rPr>
        <w:t>,</w:t>
      </w:r>
      <w:r>
        <w:rPr>
          <w:rFonts w:ascii="Calibri" w:eastAsia="Times New Roman" w:hAnsi="Calibri" w:cs="Calibri"/>
        </w:rPr>
        <w:t xml:space="preserve"> product 2 is a combination of a tablet and a phone. Though it is a radical though</w:t>
      </w:r>
      <w:r w:rsidR="00D833DF">
        <w:rPr>
          <w:rFonts w:ascii="Calibri" w:eastAsia="Times New Roman" w:hAnsi="Calibri" w:cs="Calibri"/>
        </w:rPr>
        <w:t>t</w:t>
      </w:r>
      <w:r>
        <w:rPr>
          <w:rFonts w:ascii="Calibri" w:eastAsia="Times New Roman" w:hAnsi="Calibri" w:cs="Calibri"/>
        </w:rPr>
        <w:t xml:space="preserve"> and a unique product, it is not handy enough for all sorts of users to accept it. The customers ask for “ease of use”, where the products are</w:t>
      </w:r>
      <w:r w:rsidR="00A57D2D">
        <w:rPr>
          <w:rFonts w:ascii="Calibri" w:eastAsia="Times New Roman" w:hAnsi="Calibri" w:cs="Calibri"/>
        </w:rPr>
        <w:t xml:space="preserve"> portable and easy to use. </w:t>
      </w:r>
      <w:r w:rsidR="003B1DF4">
        <w:rPr>
          <w:rFonts w:ascii="Calibri" w:eastAsia="Times New Roman" w:hAnsi="Calibri" w:cs="Calibri"/>
        </w:rPr>
        <w:t xml:space="preserve"> Assuming that</w:t>
      </w:r>
      <w:r w:rsidR="00251E50">
        <w:rPr>
          <w:rFonts w:ascii="Calibri" w:eastAsia="Times New Roman" w:hAnsi="Calibri" w:cs="Calibri"/>
        </w:rPr>
        <w:t>,</w:t>
      </w:r>
      <w:r w:rsidR="003B1DF4">
        <w:rPr>
          <w:rFonts w:ascii="Calibri" w:eastAsia="Times New Roman" w:hAnsi="Calibri" w:cs="Calibri"/>
        </w:rPr>
        <w:t xml:space="preserve"> the product “777” is an entirely new product, no one has the estimate of how the product would perform. Hence</w:t>
      </w:r>
      <w:r w:rsidR="00251E50">
        <w:rPr>
          <w:rFonts w:ascii="Calibri" w:eastAsia="Times New Roman" w:hAnsi="Calibri" w:cs="Calibri"/>
        </w:rPr>
        <w:t>,</w:t>
      </w:r>
      <w:r w:rsidR="003B1DF4">
        <w:rPr>
          <w:rFonts w:ascii="Calibri" w:eastAsia="Times New Roman" w:hAnsi="Calibri" w:cs="Calibri"/>
        </w:rPr>
        <w:t xml:space="preserve"> the company ha</w:t>
      </w:r>
      <w:r w:rsidR="00251E50">
        <w:rPr>
          <w:rFonts w:ascii="Calibri" w:eastAsia="Times New Roman" w:hAnsi="Calibri" w:cs="Calibri"/>
        </w:rPr>
        <w:t>d</w:t>
      </w:r>
      <w:r w:rsidR="003B1DF4">
        <w:rPr>
          <w:rFonts w:ascii="Calibri" w:eastAsia="Times New Roman" w:hAnsi="Calibri" w:cs="Calibri"/>
        </w:rPr>
        <w:t xml:space="preserve"> to target a skeptical market. Hence</w:t>
      </w:r>
      <w:r w:rsidR="00251E50">
        <w:rPr>
          <w:rFonts w:ascii="Calibri" w:eastAsia="Times New Roman" w:hAnsi="Calibri" w:cs="Calibri"/>
        </w:rPr>
        <w:t>,</w:t>
      </w:r>
      <w:r w:rsidR="003B1DF4">
        <w:rPr>
          <w:rFonts w:ascii="Calibri" w:eastAsia="Times New Roman" w:hAnsi="Calibri" w:cs="Calibri"/>
        </w:rPr>
        <w:t xml:space="preserve"> more costs must be invested in marketing and introductory offers to attract customers. </w:t>
      </w:r>
      <w:r w:rsidR="001D2501">
        <w:rPr>
          <w:rFonts w:ascii="Calibri" w:eastAsia="Times New Roman" w:hAnsi="Calibri" w:cs="Calibri"/>
        </w:rPr>
        <w:t>All these are additional costs to be borne by the company and will decrease the net profit received by the company.</w:t>
      </w:r>
      <w:r w:rsidR="00251E50">
        <w:rPr>
          <w:rFonts w:ascii="Calibri" w:eastAsia="Times New Roman" w:hAnsi="Calibri" w:cs="Calibri"/>
        </w:rPr>
        <w:t xml:space="preserve"> We can see it in graph2, t</w:t>
      </w:r>
      <w:r w:rsidR="001D2501">
        <w:rPr>
          <w:rFonts w:ascii="Calibri" w:eastAsia="Times New Roman" w:hAnsi="Calibri" w:cs="Calibri"/>
        </w:rPr>
        <w:t>he data given clearly shows that the product 2 i</w:t>
      </w:r>
      <w:r w:rsidR="00251E50">
        <w:rPr>
          <w:rFonts w:ascii="Calibri" w:eastAsia="Times New Roman" w:hAnsi="Calibri" w:cs="Calibri"/>
        </w:rPr>
        <w:t>.</w:t>
      </w:r>
      <w:r w:rsidR="001D2501">
        <w:rPr>
          <w:rFonts w:ascii="Calibri" w:eastAsia="Times New Roman" w:hAnsi="Calibri" w:cs="Calibri"/>
        </w:rPr>
        <w:t>e</w:t>
      </w:r>
      <w:r w:rsidR="00251E50">
        <w:rPr>
          <w:rFonts w:ascii="Calibri" w:eastAsia="Times New Roman" w:hAnsi="Calibri" w:cs="Calibri"/>
        </w:rPr>
        <w:t>.</w:t>
      </w:r>
      <w:r w:rsidR="001D2501">
        <w:rPr>
          <w:rFonts w:ascii="Calibri" w:eastAsia="Times New Roman" w:hAnsi="Calibri" w:cs="Calibri"/>
        </w:rPr>
        <w:t xml:space="preserve"> “777” </w:t>
      </w:r>
      <w:r w:rsidR="006D1C00">
        <w:rPr>
          <w:rFonts w:ascii="Calibri" w:eastAsia="Times New Roman" w:hAnsi="Calibri" w:cs="Calibri"/>
        </w:rPr>
        <w:t>has the</w:t>
      </w:r>
      <w:r w:rsidR="00D833DF">
        <w:rPr>
          <w:rFonts w:ascii="Calibri" w:eastAsia="Times New Roman" w:hAnsi="Calibri" w:cs="Calibri"/>
        </w:rPr>
        <w:t xml:space="preserve"> net NPV value </w:t>
      </w:r>
      <w:r w:rsidR="006D1C00">
        <w:rPr>
          <w:rFonts w:ascii="Calibri" w:eastAsia="Times New Roman" w:hAnsi="Calibri" w:cs="Calibri"/>
        </w:rPr>
        <w:t>to be</w:t>
      </w:r>
      <w:r w:rsidR="003754B8">
        <w:rPr>
          <w:rFonts w:ascii="Calibri" w:eastAsia="Times New Roman" w:hAnsi="Calibri" w:cs="Calibri"/>
        </w:rPr>
        <w:t xml:space="preserve"> negative for every year. This means that the inflow is very less as compared to the outflow. </w:t>
      </w:r>
    </w:p>
    <w:p w:rsidR="003754B8" w:rsidRDefault="003754B8" w:rsidP="00FC43AA">
      <w:pPr>
        <w:jc w:val="both"/>
        <w:rPr>
          <w:rFonts w:ascii="Calibri" w:eastAsia="Times New Roman" w:hAnsi="Calibri" w:cs="Calibri"/>
        </w:rPr>
      </w:pPr>
      <w:r>
        <w:rPr>
          <w:rFonts w:ascii="Calibri" w:eastAsia="Times New Roman" w:hAnsi="Calibri" w:cs="Calibri"/>
        </w:rPr>
        <w:t>For project 1. I</w:t>
      </w:r>
      <w:r w:rsidR="006D1C00">
        <w:rPr>
          <w:rFonts w:ascii="Calibri" w:eastAsia="Times New Roman" w:hAnsi="Calibri" w:cs="Calibri"/>
        </w:rPr>
        <w:t>.</w:t>
      </w:r>
      <w:r>
        <w:rPr>
          <w:rFonts w:ascii="Calibri" w:eastAsia="Times New Roman" w:hAnsi="Calibri" w:cs="Calibri"/>
        </w:rPr>
        <w:t>e</w:t>
      </w:r>
      <w:r w:rsidR="006D1C00">
        <w:rPr>
          <w:rFonts w:ascii="Calibri" w:eastAsia="Times New Roman" w:hAnsi="Calibri" w:cs="Calibri"/>
        </w:rPr>
        <w:t>.</w:t>
      </w:r>
      <w:r>
        <w:rPr>
          <w:rFonts w:ascii="Calibri" w:eastAsia="Times New Roman" w:hAnsi="Calibri" w:cs="Calibri"/>
        </w:rPr>
        <w:t xml:space="preserve"> </w:t>
      </w:r>
      <w:proofErr w:type="spellStart"/>
      <w:r>
        <w:rPr>
          <w:rFonts w:ascii="Calibri" w:eastAsia="Times New Roman" w:hAnsi="Calibri" w:cs="Calibri"/>
        </w:rPr>
        <w:t>Goloxy</w:t>
      </w:r>
      <w:proofErr w:type="spellEnd"/>
      <w:r>
        <w:rPr>
          <w:rFonts w:ascii="Calibri" w:eastAsia="Times New Roman" w:hAnsi="Calibri" w:cs="Calibri"/>
        </w:rPr>
        <w:t xml:space="preserve"> Note 10, only the third year returns less profits as the NPV value is negative. The overall performance of the product is much better than product 2. </w:t>
      </w:r>
    </w:p>
    <w:p w:rsidR="00932AF5" w:rsidRDefault="00932AF5" w:rsidP="00FC43AA">
      <w:pPr>
        <w:jc w:val="both"/>
        <w:rPr>
          <w:rFonts w:ascii="Calibri" w:eastAsia="Times New Roman" w:hAnsi="Calibri" w:cs="Calibri"/>
        </w:rPr>
      </w:pPr>
      <w:r>
        <w:rPr>
          <w:rFonts w:ascii="Calibri" w:eastAsia="Times New Roman" w:hAnsi="Calibri" w:cs="Calibri"/>
        </w:rPr>
        <w:lastRenderedPageBreak/>
        <w:t>The graphs below show the comparison between the Maintenance and Revenue Costs for project 1 and project 2.</w:t>
      </w:r>
      <w:r w:rsidR="00275948">
        <w:rPr>
          <w:rFonts w:ascii="Calibri" w:eastAsia="Times New Roman" w:hAnsi="Calibri" w:cs="Calibri"/>
        </w:rPr>
        <w:t xml:space="preserve"> I have done the 5</w:t>
      </w:r>
      <w:r w:rsidR="006D1C00">
        <w:rPr>
          <w:rFonts w:ascii="Calibri" w:eastAsia="Times New Roman" w:hAnsi="Calibri" w:cs="Calibri"/>
        </w:rPr>
        <w:t>-</w:t>
      </w:r>
      <w:r w:rsidR="00275948">
        <w:rPr>
          <w:rFonts w:ascii="Calibri" w:eastAsia="Times New Roman" w:hAnsi="Calibri" w:cs="Calibri"/>
        </w:rPr>
        <w:t>year forecasting using the moving averages method.</w:t>
      </w:r>
    </w:p>
    <w:p w:rsidR="002A7D71" w:rsidRDefault="00A43B2A" w:rsidP="00FC43AA">
      <w:pPr>
        <w:jc w:val="both"/>
        <w:rPr>
          <w:rFonts w:ascii="Calibri" w:eastAsia="Times New Roman" w:hAnsi="Calibri" w:cs="Calibri"/>
          <w:color w:val="000000"/>
        </w:rPr>
      </w:pPr>
      <w:r>
        <w:rPr>
          <w:rFonts w:ascii="Calibri" w:eastAsia="Times New Roman" w:hAnsi="Calibri" w:cs="Calibri"/>
          <w:color w:val="000000"/>
        </w:rPr>
        <w:t>The graph</w:t>
      </w:r>
      <w:r w:rsidR="006D1C00">
        <w:rPr>
          <w:rFonts w:ascii="Calibri" w:eastAsia="Times New Roman" w:hAnsi="Calibri" w:cs="Calibri"/>
          <w:color w:val="000000"/>
        </w:rPr>
        <w:t>1 also</w:t>
      </w:r>
      <w:r>
        <w:rPr>
          <w:rFonts w:ascii="Calibri" w:eastAsia="Times New Roman" w:hAnsi="Calibri" w:cs="Calibri"/>
          <w:color w:val="000000"/>
        </w:rPr>
        <w:t xml:space="preserve"> show that the cash outflow for project 1 is steady and the cash inflow fluctuates from high to low and then remains constant. So</w:t>
      </w:r>
      <w:r w:rsidR="006D1C00">
        <w:rPr>
          <w:rFonts w:ascii="Calibri" w:eastAsia="Times New Roman" w:hAnsi="Calibri" w:cs="Calibri"/>
          <w:color w:val="000000"/>
        </w:rPr>
        <w:t>,</w:t>
      </w:r>
      <w:r>
        <w:rPr>
          <w:rFonts w:ascii="Calibri" w:eastAsia="Times New Roman" w:hAnsi="Calibri" w:cs="Calibri"/>
          <w:color w:val="000000"/>
        </w:rPr>
        <w:t xml:space="preserve"> with the initial revenue received itself the product 1 provides the complete retu</w:t>
      </w:r>
      <w:r w:rsidR="003B7A58">
        <w:rPr>
          <w:rFonts w:ascii="Calibri" w:eastAsia="Times New Roman" w:hAnsi="Calibri" w:cs="Calibri"/>
          <w:color w:val="000000"/>
        </w:rPr>
        <w:t>r</w:t>
      </w:r>
      <w:r>
        <w:rPr>
          <w:rFonts w:ascii="Calibri" w:eastAsia="Times New Roman" w:hAnsi="Calibri" w:cs="Calibri"/>
          <w:color w:val="000000"/>
        </w:rPr>
        <w:t>n of investment.</w:t>
      </w:r>
      <w:r w:rsidR="003B7A58">
        <w:rPr>
          <w:rFonts w:ascii="Calibri" w:eastAsia="Times New Roman" w:hAnsi="Calibri" w:cs="Calibri"/>
          <w:color w:val="000000"/>
        </w:rPr>
        <w:t xml:space="preserve"> The rest of the cash inflow turns out to be the profit.</w:t>
      </w:r>
    </w:p>
    <w:p w:rsidR="003B7A58" w:rsidRDefault="003B7A58" w:rsidP="00FC43AA">
      <w:pPr>
        <w:jc w:val="both"/>
        <w:rPr>
          <w:rFonts w:ascii="Calibri" w:eastAsia="Times New Roman" w:hAnsi="Calibri" w:cs="Calibri"/>
          <w:color w:val="000000"/>
        </w:rPr>
      </w:pPr>
      <w:r>
        <w:rPr>
          <w:rFonts w:ascii="Calibri" w:eastAsia="Times New Roman" w:hAnsi="Calibri" w:cs="Calibri"/>
          <w:color w:val="000000"/>
        </w:rPr>
        <w:t>For product 2, the cash inflow or th</w:t>
      </w:r>
      <w:r w:rsidR="008B670C">
        <w:rPr>
          <w:rFonts w:ascii="Calibri" w:eastAsia="Times New Roman" w:hAnsi="Calibri" w:cs="Calibri"/>
          <w:color w:val="000000"/>
        </w:rPr>
        <w:t>e</w:t>
      </w:r>
      <w:r>
        <w:rPr>
          <w:rFonts w:ascii="Calibri" w:eastAsia="Times New Roman" w:hAnsi="Calibri" w:cs="Calibri"/>
          <w:color w:val="000000"/>
        </w:rPr>
        <w:t xml:space="preserve"> revenue received is very less as see</w:t>
      </w:r>
      <w:r w:rsidR="002F6C30">
        <w:rPr>
          <w:rFonts w:ascii="Calibri" w:eastAsia="Times New Roman" w:hAnsi="Calibri" w:cs="Calibri"/>
          <w:color w:val="000000"/>
        </w:rPr>
        <w:t>n in graph2</w:t>
      </w:r>
      <w:r>
        <w:rPr>
          <w:rFonts w:ascii="Calibri" w:eastAsia="Times New Roman" w:hAnsi="Calibri" w:cs="Calibri"/>
          <w:color w:val="000000"/>
        </w:rPr>
        <w:t xml:space="preserve">. It is around 10 Million for all five years. This means neither initially at the release nor after giving </w:t>
      </w:r>
      <w:r w:rsidR="002F6C30">
        <w:rPr>
          <w:rFonts w:ascii="Calibri" w:eastAsia="Times New Roman" w:hAnsi="Calibri" w:cs="Calibri"/>
          <w:color w:val="000000"/>
        </w:rPr>
        <w:t>enough</w:t>
      </w:r>
      <w:r>
        <w:rPr>
          <w:rFonts w:ascii="Calibri" w:eastAsia="Times New Roman" w:hAnsi="Calibri" w:cs="Calibri"/>
          <w:color w:val="000000"/>
        </w:rPr>
        <w:t xml:space="preserve"> time, product 2 gives a good return on investment. There are conditions in the case where, there are additional offers of lenses that are being given out by the company.</w:t>
      </w:r>
      <w:r w:rsidR="002F6C30">
        <w:rPr>
          <w:rFonts w:ascii="Calibri" w:eastAsia="Times New Roman" w:hAnsi="Calibri" w:cs="Calibri"/>
          <w:color w:val="000000"/>
        </w:rPr>
        <w:t xml:space="preserve"> </w:t>
      </w:r>
      <w:r>
        <w:rPr>
          <w:rFonts w:ascii="Calibri" w:eastAsia="Times New Roman" w:hAnsi="Calibri" w:cs="Calibri"/>
          <w:color w:val="000000"/>
        </w:rPr>
        <w:t>Even then</w:t>
      </w:r>
      <w:r w:rsidR="002F6C30">
        <w:rPr>
          <w:rFonts w:ascii="Calibri" w:eastAsia="Times New Roman" w:hAnsi="Calibri" w:cs="Calibri"/>
          <w:color w:val="000000"/>
        </w:rPr>
        <w:t>,</w:t>
      </w:r>
      <w:r>
        <w:rPr>
          <w:rFonts w:ascii="Calibri" w:eastAsia="Times New Roman" w:hAnsi="Calibri" w:cs="Calibri"/>
          <w:color w:val="000000"/>
        </w:rPr>
        <w:t xml:space="preserve"> due to the high manufacturing and maintenance costs</w:t>
      </w:r>
      <w:r w:rsidR="002F6C30">
        <w:rPr>
          <w:rFonts w:ascii="Calibri" w:eastAsia="Times New Roman" w:hAnsi="Calibri" w:cs="Calibri"/>
          <w:color w:val="000000"/>
        </w:rPr>
        <w:t>,</w:t>
      </w:r>
      <w:r>
        <w:rPr>
          <w:rFonts w:ascii="Calibri" w:eastAsia="Times New Roman" w:hAnsi="Calibri" w:cs="Calibri"/>
          <w:color w:val="000000"/>
        </w:rPr>
        <w:t xml:space="preserve"> Product -2 does not turn out to be profitable. The company should consider launching a unique product with less manufacturing costs. </w:t>
      </w:r>
      <w:r w:rsidR="008B670C">
        <w:rPr>
          <w:rFonts w:ascii="Calibri" w:eastAsia="Times New Roman" w:hAnsi="Calibri" w:cs="Calibri"/>
          <w:color w:val="000000"/>
        </w:rPr>
        <w:t xml:space="preserve">Studying the market, response from </w:t>
      </w:r>
      <w:r w:rsidR="002F6C30">
        <w:rPr>
          <w:rFonts w:ascii="Calibri" w:eastAsia="Times New Roman" w:hAnsi="Calibri" w:cs="Calibri"/>
          <w:color w:val="000000"/>
        </w:rPr>
        <w:t>the customers</w:t>
      </w:r>
      <w:r w:rsidR="008B670C">
        <w:rPr>
          <w:rFonts w:ascii="Calibri" w:eastAsia="Times New Roman" w:hAnsi="Calibri" w:cs="Calibri"/>
          <w:color w:val="000000"/>
        </w:rPr>
        <w:t>, the company’s financial positions</w:t>
      </w:r>
      <w:r w:rsidR="009F2CE8">
        <w:rPr>
          <w:rFonts w:ascii="Calibri" w:eastAsia="Times New Roman" w:hAnsi="Calibri" w:cs="Calibri"/>
          <w:color w:val="000000"/>
        </w:rPr>
        <w:t>, the losses regarding old phones etc.</w:t>
      </w:r>
      <w:r w:rsidR="008B670C">
        <w:rPr>
          <w:rFonts w:ascii="Calibri" w:eastAsia="Times New Roman" w:hAnsi="Calibri" w:cs="Calibri"/>
          <w:color w:val="000000"/>
        </w:rPr>
        <w:t xml:space="preserve"> </w:t>
      </w:r>
      <w:r w:rsidR="002F6C30">
        <w:rPr>
          <w:rFonts w:ascii="Calibri" w:eastAsia="Times New Roman" w:hAnsi="Calibri" w:cs="Calibri"/>
          <w:color w:val="000000"/>
        </w:rPr>
        <w:t xml:space="preserve">which </w:t>
      </w:r>
      <w:r w:rsidR="008B670C">
        <w:rPr>
          <w:rFonts w:ascii="Calibri" w:eastAsia="Times New Roman" w:hAnsi="Calibri" w:cs="Calibri"/>
          <w:color w:val="000000"/>
        </w:rPr>
        <w:t xml:space="preserve">are all the factors that need to be considered.  </w:t>
      </w:r>
    </w:p>
    <w:p w:rsidR="008B670C" w:rsidRDefault="008B670C" w:rsidP="00FC43AA">
      <w:pPr>
        <w:jc w:val="both"/>
        <w:rPr>
          <w:rFonts w:ascii="Calibri" w:eastAsia="Times New Roman" w:hAnsi="Calibri" w:cs="Calibri"/>
          <w:color w:val="000000"/>
        </w:rPr>
      </w:pPr>
      <w:r>
        <w:rPr>
          <w:rFonts w:ascii="Calibri" w:eastAsia="Times New Roman" w:hAnsi="Calibri" w:cs="Calibri"/>
          <w:color w:val="000000"/>
        </w:rPr>
        <w:t>If we need to invest on product 2, either we should increase the product costs from $2</w:t>
      </w:r>
      <w:r w:rsidR="002F6C30">
        <w:rPr>
          <w:rFonts w:ascii="Calibri" w:eastAsia="Times New Roman" w:hAnsi="Calibri" w:cs="Calibri"/>
          <w:color w:val="000000"/>
        </w:rPr>
        <w:t>5</w:t>
      </w:r>
      <w:r>
        <w:rPr>
          <w:rFonts w:ascii="Calibri" w:eastAsia="Times New Roman" w:hAnsi="Calibri" w:cs="Calibri"/>
          <w:color w:val="000000"/>
        </w:rPr>
        <w:t>00 to $</w:t>
      </w:r>
      <w:r w:rsidR="002F6C30">
        <w:rPr>
          <w:rFonts w:ascii="Calibri" w:eastAsia="Times New Roman" w:hAnsi="Calibri" w:cs="Calibri"/>
          <w:color w:val="000000"/>
        </w:rPr>
        <w:t>4</w:t>
      </w:r>
      <w:r>
        <w:rPr>
          <w:rFonts w:ascii="Calibri" w:eastAsia="Times New Roman" w:hAnsi="Calibri" w:cs="Calibri"/>
          <w:color w:val="000000"/>
        </w:rPr>
        <w:t>000 or more, increase the sales, improving on marketing strategies might be beneficial to</w:t>
      </w:r>
      <w:r w:rsidR="002F6C30">
        <w:rPr>
          <w:rFonts w:ascii="Calibri" w:eastAsia="Times New Roman" w:hAnsi="Calibri" w:cs="Calibri"/>
          <w:color w:val="000000"/>
        </w:rPr>
        <w:t>o, to</w:t>
      </w:r>
      <w:r>
        <w:rPr>
          <w:rFonts w:ascii="Calibri" w:eastAsia="Times New Roman" w:hAnsi="Calibri" w:cs="Calibri"/>
          <w:color w:val="000000"/>
        </w:rPr>
        <w:t xml:space="preserve"> the company. A major hit in product 2 is </w:t>
      </w:r>
      <w:r w:rsidR="00DA1CF2">
        <w:rPr>
          <w:rFonts w:ascii="Calibri" w:eastAsia="Times New Roman" w:hAnsi="Calibri" w:cs="Calibri"/>
          <w:color w:val="000000"/>
        </w:rPr>
        <w:t xml:space="preserve">folding tech cost, software maintenance cost and </w:t>
      </w:r>
      <w:r>
        <w:rPr>
          <w:rFonts w:ascii="Calibri" w:eastAsia="Times New Roman" w:hAnsi="Calibri" w:cs="Calibri"/>
          <w:color w:val="000000"/>
        </w:rPr>
        <w:t xml:space="preserve">manufacturing costs. Hence the company should concentrate on using the inhouse resources and materials rather than investing a very large amount outside. Or the company should be performing </w:t>
      </w:r>
      <w:r w:rsidR="00DA1CF2">
        <w:rPr>
          <w:rFonts w:ascii="Calibri" w:eastAsia="Times New Roman" w:hAnsi="Calibri" w:cs="Calibri"/>
          <w:color w:val="000000"/>
        </w:rPr>
        <w:t>well</w:t>
      </w:r>
      <w:r>
        <w:rPr>
          <w:rFonts w:ascii="Calibri" w:eastAsia="Times New Roman" w:hAnsi="Calibri" w:cs="Calibri"/>
          <w:color w:val="000000"/>
        </w:rPr>
        <w:t xml:space="preserve"> with its range of </w:t>
      </w:r>
      <w:r w:rsidR="00E9452F">
        <w:rPr>
          <w:rFonts w:ascii="Calibri" w:eastAsia="Times New Roman" w:hAnsi="Calibri" w:cs="Calibri"/>
          <w:color w:val="000000"/>
        </w:rPr>
        <w:t xml:space="preserve">other products, that it can use profits from other products to invest on product 2. </w:t>
      </w:r>
    </w:p>
    <w:p w:rsidR="00E9452F" w:rsidRDefault="00E9452F" w:rsidP="00FC43AA">
      <w:pPr>
        <w:jc w:val="both"/>
        <w:rPr>
          <w:rFonts w:ascii="Calibri" w:eastAsia="Times New Roman" w:hAnsi="Calibri" w:cs="Calibri"/>
          <w:color w:val="000000"/>
        </w:rPr>
      </w:pPr>
      <w:r>
        <w:rPr>
          <w:rFonts w:ascii="Calibri" w:eastAsia="Times New Roman" w:hAnsi="Calibri" w:cs="Calibri"/>
          <w:color w:val="000000"/>
        </w:rPr>
        <w:t>The graph</w:t>
      </w:r>
      <w:r w:rsidR="00DA1CF2">
        <w:rPr>
          <w:rFonts w:ascii="Calibri" w:eastAsia="Times New Roman" w:hAnsi="Calibri" w:cs="Calibri"/>
          <w:color w:val="000000"/>
        </w:rPr>
        <w:t>3</w:t>
      </w:r>
      <w:r>
        <w:rPr>
          <w:rFonts w:ascii="Calibri" w:eastAsia="Times New Roman" w:hAnsi="Calibri" w:cs="Calibri"/>
          <w:color w:val="000000"/>
        </w:rPr>
        <w:t xml:space="preserve"> below</w:t>
      </w:r>
      <w:r w:rsidR="00DA1CF2">
        <w:rPr>
          <w:rFonts w:ascii="Calibri" w:eastAsia="Times New Roman" w:hAnsi="Calibri" w:cs="Calibri"/>
          <w:color w:val="000000"/>
        </w:rPr>
        <w:t>,</w:t>
      </w:r>
      <w:r>
        <w:rPr>
          <w:rFonts w:ascii="Calibri" w:eastAsia="Times New Roman" w:hAnsi="Calibri" w:cs="Calibri"/>
          <w:color w:val="000000"/>
        </w:rPr>
        <w:t xml:space="preserve"> shows the comparison between the project</w:t>
      </w:r>
      <w:r w:rsidR="00DA1CF2">
        <w:rPr>
          <w:rFonts w:ascii="Calibri" w:eastAsia="Times New Roman" w:hAnsi="Calibri" w:cs="Calibri"/>
          <w:color w:val="000000"/>
        </w:rPr>
        <w:t xml:space="preserve"> 1</w:t>
      </w:r>
      <w:r>
        <w:rPr>
          <w:rFonts w:ascii="Calibri" w:eastAsia="Times New Roman" w:hAnsi="Calibri" w:cs="Calibri"/>
          <w:color w:val="000000"/>
        </w:rPr>
        <w:t xml:space="preserve"> and project 2 revenues</w:t>
      </w:r>
      <w:r w:rsidR="00DA1CF2">
        <w:rPr>
          <w:rFonts w:ascii="Calibri" w:eastAsia="Times New Roman" w:hAnsi="Calibri" w:cs="Calibri"/>
          <w:color w:val="000000"/>
        </w:rPr>
        <w:t>, helping detection the better performing product out of the two.</w:t>
      </w:r>
    </w:p>
    <w:p w:rsidR="00DA1CF2" w:rsidRPr="00DA1CF2" w:rsidRDefault="00DA1CF2" w:rsidP="00FC43AA">
      <w:pPr>
        <w:jc w:val="both"/>
        <w:rPr>
          <w:rFonts w:ascii="Calibri" w:eastAsia="Times New Roman" w:hAnsi="Calibri" w:cs="Calibri"/>
          <w:color w:val="000000"/>
        </w:rPr>
      </w:pPr>
      <w:r w:rsidRPr="00DA1CF2">
        <w:t>We can observe that the total revenue from project 1 is greater than project2. Hence the investment decision is to invest on PROJECT 1.</w:t>
      </w:r>
    </w:p>
    <w:p w:rsidR="00DA1CF2" w:rsidRDefault="00DA1CF2" w:rsidP="00B21E5A">
      <w:pPr>
        <w:rPr>
          <w:rFonts w:ascii="Calibri" w:eastAsia="Times New Roman" w:hAnsi="Calibri" w:cs="Calibri"/>
          <w:color w:val="000000"/>
        </w:rPr>
      </w:pPr>
    </w:p>
    <w:p w:rsidR="00DA1CF2" w:rsidRDefault="00DA1CF2" w:rsidP="00B21E5A">
      <w:pPr>
        <w:rPr>
          <w:rFonts w:ascii="Calibri" w:eastAsia="Times New Roman" w:hAnsi="Calibri" w:cs="Calibri"/>
          <w:color w:val="000000"/>
        </w:rPr>
      </w:pPr>
    </w:p>
    <w:p w:rsidR="00DA1CF2" w:rsidRDefault="00DA1CF2" w:rsidP="00B21E5A">
      <w:pPr>
        <w:rPr>
          <w:rFonts w:ascii="Calibri" w:eastAsia="Times New Roman" w:hAnsi="Calibri" w:cs="Calibri"/>
          <w:color w:val="000000"/>
        </w:rPr>
      </w:pPr>
    </w:p>
    <w:p w:rsidR="00DA1CF2" w:rsidRDefault="00DA1CF2" w:rsidP="00B21E5A">
      <w:pPr>
        <w:rPr>
          <w:rFonts w:ascii="Calibri" w:eastAsia="Times New Roman" w:hAnsi="Calibri" w:cs="Calibri"/>
          <w:color w:val="000000"/>
        </w:rPr>
      </w:pPr>
    </w:p>
    <w:p w:rsidR="00DA1CF2" w:rsidRDefault="00DA1CF2" w:rsidP="00B21E5A">
      <w:pPr>
        <w:rPr>
          <w:rFonts w:ascii="Calibri" w:eastAsia="Times New Roman" w:hAnsi="Calibri" w:cs="Calibri"/>
          <w:color w:val="000000"/>
        </w:rPr>
      </w:pPr>
    </w:p>
    <w:p w:rsidR="00DA1CF2" w:rsidRDefault="00DA1CF2" w:rsidP="00B21E5A">
      <w:pPr>
        <w:rPr>
          <w:rFonts w:ascii="Calibri" w:eastAsia="Times New Roman" w:hAnsi="Calibri" w:cs="Calibri"/>
          <w:color w:val="000000"/>
        </w:rPr>
      </w:pPr>
    </w:p>
    <w:p w:rsidR="00DA1CF2" w:rsidRDefault="00DA1CF2" w:rsidP="00B21E5A">
      <w:pPr>
        <w:rPr>
          <w:rFonts w:ascii="Calibri" w:eastAsia="Times New Roman" w:hAnsi="Calibri" w:cs="Calibri"/>
          <w:color w:val="000000"/>
        </w:rPr>
      </w:pPr>
    </w:p>
    <w:p w:rsidR="00DA1CF2" w:rsidRDefault="00DA1CF2" w:rsidP="00B21E5A">
      <w:pPr>
        <w:rPr>
          <w:rFonts w:ascii="Calibri" w:eastAsia="Times New Roman" w:hAnsi="Calibri" w:cs="Calibri"/>
          <w:color w:val="000000"/>
        </w:rPr>
      </w:pPr>
    </w:p>
    <w:p w:rsidR="00DA1CF2" w:rsidRDefault="00DA1CF2" w:rsidP="00B21E5A">
      <w:pPr>
        <w:rPr>
          <w:rFonts w:ascii="Calibri" w:eastAsia="Times New Roman" w:hAnsi="Calibri" w:cs="Calibri"/>
          <w:color w:val="000000"/>
        </w:rPr>
      </w:pPr>
    </w:p>
    <w:p w:rsidR="00DA1CF2" w:rsidRDefault="00DA1CF2" w:rsidP="00B21E5A">
      <w:pPr>
        <w:rPr>
          <w:rFonts w:ascii="Calibri" w:eastAsia="Times New Roman" w:hAnsi="Calibri" w:cs="Calibri"/>
          <w:color w:val="000000"/>
        </w:rPr>
      </w:pPr>
    </w:p>
    <w:p w:rsidR="00DA1CF2" w:rsidRDefault="00DA1CF2" w:rsidP="00B21E5A">
      <w:pPr>
        <w:rPr>
          <w:rFonts w:ascii="Calibri" w:eastAsia="Times New Roman" w:hAnsi="Calibri" w:cs="Calibri"/>
          <w:color w:val="000000"/>
        </w:rPr>
      </w:pPr>
    </w:p>
    <w:p w:rsidR="00BD4C11" w:rsidRDefault="00BD4C11" w:rsidP="00BD4C11">
      <w:pPr>
        <w:rPr>
          <w:rFonts w:ascii="Calibri" w:eastAsia="Times New Roman" w:hAnsi="Calibri" w:cs="Calibri"/>
          <w:color w:val="000000"/>
        </w:rPr>
      </w:pPr>
    </w:p>
    <w:p w:rsidR="00DA1CF2" w:rsidRPr="00DA1CF2" w:rsidRDefault="00DA1CF2" w:rsidP="00BD4C11">
      <w:pPr>
        <w:jc w:val="center"/>
        <w:rPr>
          <w:rFonts w:ascii="Calibri" w:eastAsia="Times New Roman" w:hAnsi="Calibri" w:cs="Calibri"/>
          <w:color w:val="000000"/>
          <w:sz w:val="28"/>
          <w:szCs w:val="28"/>
        </w:rPr>
      </w:pPr>
      <w:bookmarkStart w:id="0" w:name="_GoBack"/>
      <w:bookmarkEnd w:id="0"/>
      <w:r w:rsidRPr="00DA1CF2">
        <w:rPr>
          <w:rFonts w:ascii="Calibri" w:eastAsia="Times New Roman" w:hAnsi="Calibri" w:cs="Calibri"/>
          <w:b/>
          <w:color w:val="000000"/>
          <w:sz w:val="28"/>
          <w:szCs w:val="28"/>
        </w:rPr>
        <w:lastRenderedPageBreak/>
        <w:t>GRAPHS</w:t>
      </w:r>
    </w:p>
    <w:p w:rsidR="00DA1CF2" w:rsidRDefault="00DA1CF2" w:rsidP="00E9452F">
      <w:pPr>
        <w:jc w:val="center"/>
        <w:rPr>
          <w:rFonts w:ascii="Calibri" w:eastAsia="Times New Roman" w:hAnsi="Calibri" w:cs="Calibri"/>
          <w:color w:val="000000"/>
        </w:rPr>
      </w:pPr>
      <w:r>
        <w:rPr>
          <w:noProof/>
        </w:rPr>
        <w:drawing>
          <wp:inline distT="0" distB="0" distL="0" distR="0" wp14:anchorId="574E9D08" wp14:editId="7DEB245A">
            <wp:extent cx="5734870" cy="2726127"/>
            <wp:effectExtent l="0" t="0" r="0" b="0"/>
            <wp:docPr id="1" name="Chart 1">
              <a:extLst xmlns:a="http://schemas.openxmlformats.org/drawingml/2006/main">
                <a:ext uri="{FF2B5EF4-FFF2-40B4-BE49-F238E27FC236}">
                  <a16:creationId xmlns:a16="http://schemas.microsoft.com/office/drawing/2014/main" id="{7942986B-19AF-494B-95EC-F407309862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DA1CF2" w:rsidRDefault="00DA1CF2" w:rsidP="00E9452F">
      <w:pPr>
        <w:jc w:val="center"/>
        <w:rPr>
          <w:rFonts w:ascii="Calibri" w:eastAsia="Times New Roman" w:hAnsi="Calibri" w:cs="Calibri"/>
          <w:color w:val="000000"/>
        </w:rPr>
      </w:pPr>
      <w:r>
        <w:rPr>
          <w:rFonts w:ascii="Calibri" w:eastAsia="Times New Roman" w:hAnsi="Calibri" w:cs="Calibri"/>
          <w:color w:val="000000"/>
        </w:rPr>
        <w:t>Graph1</w:t>
      </w:r>
    </w:p>
    <w:p w:rsidR="00DA1CF2" w:rsidRDefault="005E1A12" w:rsidP="00E9452F">
      <w:pPr>
        <w:jc w:val="center"/>
        <w:rPr>
          <w:rFonts w:ascii="Calibri" w:eastAsia="Times New Roman" w:hAnsi="Calibri" w:cs="Calibri"/>
          <w:color w:val="000000"/>
        </w:rPr>
      </w:pPr>
      <w:r>
        <w:rPr>
          <w:noProof/>
        </w:rPr>
        <w:drawing>
          <wp:inline distT="0" distB="0" distL="0" distR="0" wp14:anchorId="25CBA1BB" wp14:editId="265B68F9">
            <wp:extent cx="5715000" cy="2748915"/>
            <wp:effectExtent l="0" t="0" r="0" b="0"/>
            <wp:docPr id="5" name="Chart 5">
              <a:extLst xmlns:a="http://schemas.openxmlformats.org/drawingml/2006/main">
                <a:ext uri="{FF2B5EF4-FFF2-40B4-BE49-F238E27FC236}">
                  <a16:creationId xmlns:a16="http://schemas.microsoft.com/office/drawing/2014/main" id="{AC6844C2-E09C-4828-A873-5CF939D75A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DA1CF2" w:rsidRDefault="005E1A12" w:rsidP="00E9452F">
      <w:pPr>
        <w:jc w:val="center"/>
        <w:rPr>
          <w:rFonts w:ascii="Calibri" w:eastAsia="Times New Roman" w:hAnsi="Calibri" w:cs="Calibri"/>
          <w:color w:val="000000"/>
        </w:rPr>
      </w:pPr>
      <w:r>
        <w:rPr>
          <w:rFonts w:ascii="Calibri" w:eastAsia="Times New Roman" w:hAnsi="Calibri" w:cs="Calibri"/>
          <w:color w:val="000000"/>
        </w:rPr>
        <w:t>Graph2</w:t>
      </w:r>
    </w:p>
    <w:p w:rsidR="00E9452F" w:rsidRDefault="005E1A12" w:rsidP="00E9452F">
      <w:pPr>
        <w:jc w:val="center"/>
        <w:rPr>
          <w:rFonts w:ascii="Calibri" w:eastAsia="Times New Roman" w:hAnsi="Calibri" w:cs="Calibri"/>
          <w:color w:val="000000"/>
        </w:rPr>
      </w:pPr>
      <w:r>
        <w:rPr>
          <w:noProof/>
        </w:rPr>
        <w:lastRenderedPageBreak/>
        <w:drawing>
          <wp:inline distT="0" distB="0" distL="0" distR="0" wp14:anchorId="7D9B9024" wp14:editId="15F308FD">
            <wp:extent cx="5784215" cy="3449782"/>
            <wp:effectExtent l="0" t="0" r="6985" b="17780"/>
            <wp:docPr id="6" name="Chart 6">
              <a:extLst xmlns:a="http://schemas.openxmlformats.org/drawingml/2006/main">
                <a:ext uri="{FF2B5EF4-FFF2-40B4-BE49-F238E27FC236}">
                  <a16:creationId xmlns:a16="http://schemas.microsoft.com/office/drawing/2014/main" id="{BC7FD894-B34E-4F69-A056-396C5F70CC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DA1CF2" w:rsidRPr="00B21E5A" w:rsidRDefault="00DA1CF2" w:rsidP="00E9452F">
      <w:pPr>
        <w:jc w:val="center"/>
        <w:rPr>
          <w:rFonts w:ascii="Calibri" w:eastAsia="Times New Roman" w:hAnsi="Calibri" w:cs="Calibri"/>
          <w:color w:val="000000"/>
        </w:rPr>
      </w:pPr>
      <w:r>
        <w:rPr>
          <w:rFonts w:ascii="Calibri" w:eastAsia="Times New Roman" w:hAnsi="Calibri" w:cs="Calibri"/>
          <w:color w:val="000000"/>
        </w:rPr>
        <w:t>Graph3</w:t>
      </w:r>
    </w:p>
    <w:p w:rsidR="00B21E5A" w:rsidRDefault="00B21E5A" w:rsidP="00750EE9">
      <w:pPr>
        <w:rPr>
          <w:b/>
        </w:rPr>
      </w:pPr>
    </w:p>
    <w:p w:rsidR="00425370" w:rsidRPr="00E9452F" w:rsidRDefault="00425370" w:rsidP="00750EE9">
      <w:pPr>
        <w:rPr>
          <w:b/>
        </w:rPr>
      </w:pPr>
    </w:p>
    <w:sectPr w:rsidR="00425370" w:rsidRPr="00E94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DB7"/>
    <w:rsid w:val="000A58D6"/>
    <w:rsid w:val="001D2501"/>
    <w:rsid w:val="00251E50"/>
    <w:rsid w:val="00275948"/>
    <w:rsid w:val="002A7D71"/>
    <w:rsid w:val="002D63A2"/>
    <w:rsid w:val="002D7561"/>
    <w:rsid w:val="002F6C30"/>
    <w:rsid w:val="003754B8"/>
    <w:rsid w:val="003B1DF4"/>
    <w:rsid w:val="003B7A58"/>
    <w:rsid w:val="00425370"/>
    <w:rsid w:val="004571F3"/>
    <w:rsid w:val="004A15B8"/>
    <w:rsid w:val="005833BB"/>
    <w:rsid w:val="00590139"/>
    <w:rsid w:val="005E1A12"/>
    <w:rsid w:val="00650E4D"/>
    <w:rsid w:val="00655E8B"/>
    <w:rsid w:val="00685BC4"/>
    <w:rsid w:val="006D1C00"/>
    <w:rsid w:val="00750EE9"/>
    <w:rsid w:val="007E745C"/>
    <w:rsid w:val="007F0368"/>
    <w:rsid w:val="008561A4"/>
    <w:rsid w:val="008B670C"/>
    <w:rsid w:val="00932AF5"/>
    <w:rsid w:val="009F2CE8"/>
    <w:rsid w:val="00A43B2A"/>
    <w:rsid w:val="00A57D2D"/>
    <w:rsid w:val="00A93DB7"/>
    <w:rsid w:val="00B21E5A"/>
    <w:rsid w:val="00BD4C11"/>
    <w:rsid w:val="00C103D7"/>
    <w:rsid w:val="00D33057"/>
    <w:rsid w:val="00D833DF"/>
    <w:rsid w:val="00DA1CF2"/>
    <w:rsid w:val="00E9452F"/>
    <w:rsid w:val="00EA1C0A"/>
    <w:rsid w:val="00EF5F03"/>
    <w:rsid w:val="00F916D8"/>
    <w:rsid w:val="00FC4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8624F"/>
  <w15:chartTrackingRefBased/>
  <w15:docId w15:val="{4C461CC0-F328-4BC2-B874-B248EB6D1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2A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2A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85244">
      <w:bodyDiv w:val="1"/>
      <w:marLeft w:val="0"/>
      <w:marRight w:val="0"/>
      <w:marTop w:val="0"/>
      <w:marBottom w:val="0"/>
      <w:divBdr>
        <w:top w:val="none" w:sz="0" w:space="0" w:color="auto"/>
        <w:left w:val="none" w:sz="0" w:space="0" w:color="auto"/>
        <w:bottom w:val="none" w:sz="0" w:space="0" w:color="auto"/>
        <w:right w:val="none" w:sz="0" w:space="0" w:color="auto"/>
      </w:divBdr>
    </w:div>
    <w:div w:id="611862580">
      <w:bodyDiv w:val="1"/>
      <w:marLeft w:val="0"/>
      <w:marRight w:val="0"/>
      <w:marTop w:val="0"/>
      <w:marBottom w:val="0"/>
      <w:divBdr>
        <w:top w:val="none" w:sz="0" w:space="0" w:color="auto"/>
        <w:left w:val="none" w:sz="0" w:space="0" w:color="auto"/>
        <w:bottom w:val="none" w:sz="0" w:space="0" w:color="auto"/>
        <w:right w:val="none" w:sz="0" w:space="0" w:color="auto"/>
      </w:divBdr>
    </w:div>
    <w:div w:id="1689941693">
      <w:bodyDiv w:val="1"/>
      <w:marLeft w:val="0"/>
      <w:marRight w:val="0"/>
      <w:marTop w:val="0"/>
      <w:marBottom w:val="0"/>
      <w:divBdr>
        <w:top w:val="none" w:sz="0" w:space="0" w:color="auto"/>
        <w:left w:val="none" w:sz="0" w:space="0" w:color="auto"/>
        <w:bottom w:val="none" w:sz="0" w:space="0" w:color="auto"/>
        <w:right w:val="none" w:sz="0" w:space="0" w:color="auto"/>
      </w:divBdr>
    </w:div>
    <w:div w:id="2052461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rath\Downloads\Financial%20modelling\Assignment4_prathamsh_dhapodkar_bifm.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rath\Downloads\Financial%20modelling\Assignment4_prathamsh_dhapodkar_bifm.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rath\Downloads\Financial%20modelling\Assignment4_prathamsh_dhapodkar_bifm.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Maintenance vs Revenue - Project 1</a:t>
            </a:r>
          </a:p>
          <a:p>
            <a:pPr>
              <a:defRPr/>
            </a:pPr>
            <a:endParaRPr lang="en-US"/>
          </a:p>
        </c:rich>
      </c:tx>
      <c:layout>
        <c:manualLayout>
          <c:xMode val="edge"/>
          <c:yMode val="edge"/>
          <c:x val="0.20952777777777781"/>
          <c:y val="4.1666666666666664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Forecast!$D$14</c:f>
              <c:strCache>
                <c:ptCount val="1"/>
                <c:pt idx="0">
                  <c:v>Mainteance Costs</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Forecast!$C$15:$C$19</c:f>
              <c:numCache>
                <c:formatCode>General</c:formatCode>
                <c:ptCount val="5"/>
                <c:pt idx="0">
                  <c:v>1</c:v>
                </c:pt>
                <c:pt idx="1">
                  <c:v>2</c:v>
                </c:pt>
                <c:pt idx="2">
                  <c:v>3</c:v>
                </c:pt>
                <c:pt idx="3">
                  <c:v>4</c:v>
                </c:pt>
                <c:pt idx="4">
                  <c:v>5</c:v>
                </c:pt>
              </c:numCache>
            </c:numRef>
          </c:cat>
          <c:val>
            <c:numRef>
              <c:f>Forecast!$D$15:$D$19</c:f>
              <c:numCache>
                <c:formatCode>"$"#,##0.00_);[Red]\("$"#,##0.00\)</c:formatCode>
                <c:ptCount val="5"/>
                <c:pt idx="0">
                  <c:v>7210000</c:v>
                </c:pt>
                <c:pt idx="1">
                  <c:v>6185000</c:v>
                </c:pt>
                <c:pt idx="2">
                  <c:v>5722500</c:v>
                </c:pt>
                <c:pt idx="3">
                  <c:v>6372500</c:v>
                </c:pt>
                <c:pt idx="4">
                  <c:v>6093333.333333333</c:v>
                </c:pt>
              </c:numCache>
            </c:numRef>
          </c:val>
          <c:smooth val="0"/>
          <c:extLst>
            <c:ext xmlns:c16="http://schemas.microsoft.com/office/drawing/2014/chart" uri="{C3380CC4-5D6E-409C-BE32-E72D297353CC}">
              <c16:uniqueId val="{00000000-F195-46DC-AEB5-FBF0EA02F441}"/>
            </c:ext>
          </c:extLst>
        </c:ser>
        <c:ser>
          <c:idx val="1"/>
          <c:order val="1"/>
          <c:tx>
            <c:strRef>
              <c:f>Forecast!$E$14</c:f>
              <c:strCache>
                <c:ptCount val="1"/>
                <c:pt idx="0">
                  <c:v>Revenue</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Forecast!$C$15:$C$19</c:f>
              <c:numCache>
                <c:formatCode>General</c:formatCode>
                <c:ptCount val="5"/>
                <c:pt idx="0">
                  <c:v>1</c:v>
                </c:pt>
                <c:pt idx="1">
                  <c:v>2</c:v>
                </c:pt>
                <c:pt idx="2">
                  <c:v>3</c:v>
                </c:pt>
                <c:pt idx="3">
                  <c:v>4</c:v>
                </c:pt>
                <c:pt idx="4">
                  <c:v>5</c:v>
                </c:pt>
              </c:numCache>
            </c:numRef>
          </c:cat>
          <c:val>
            <c:numRef>
              <c:f>Forecast!$E$15:$E$19</c:f>
              <c:numCache>
                <c:formatCode>"$"#,##0.00_);[Red]\("$"#,##0.00\)</c:formatCode>
                <c:ptCount val="5"/>
                <c:pt idx="0">
                  <c:v>39600000</c:v>
                </c:pt>
                <c:pt idx="1">
                  <c:v>7800000</c:v>
                </c:pt>
                <c:pt idx="2">
                  <c:v>-2880000</c:v>
                </c:pt>
                <c:pt idx="3">
                  <c:v>14840000</c:v>
                </c:pt>
                <c:pt idx="4">
                  <c:v>6586666.666666667</c:v>
                </c:pt>
              </c:numCache>
            </c:numRef>
          </c:val>
          <c:smooth val="0"/>
          <c:extLst>
            <c:ext xmlns:c16="http://schemas.microsoft.com/office/drawing/2014/chart" uri="{C3380CC4-5D6E-409C-BE32-E72D297353CC}">
              <c16:uniqueId val="{00000001-F195-46DC-AEB5-FBF0EA02F441}"/>
            </c:ext>
          </c:extLst>
        </c:ser>
        <c:dLbls>
          <c:showLegendKey val="0"/>
          <c:showVal val="0"/>
          <c:showCatName val="0"/>
          <c:showSerName val="0"/>
          <c:showPercent val="0"/>
          <c:showBubbleSize val="0"/>
        </c:dLbls>
        <c:smooth val="0"/>
        <c:axId val="441415344"/>
        <c:axId val="522701880"/>
      </c:lineChart>
      <c:catAx>
        <c:axId val="441415344"/>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22701880"/>
        <c:crosses val="autoZero"/>
        <c:auto val="1"/>
        <c:lblAlgn val="ctr"/>
        <c:lblOffset val="100"/>
        <c:noMultiLvlLbl val="0"/>
      </c:catAx>
      <c:valAx>
        <c:axId val="522701880"/>
        <c:scaling>
          <c:orientation val="minMax"/>
        </c:scaling>
        <c:delete val="0"/>
        <c:axPos val="l"/>
        <c:majorGridlines>
          <c:spPr>
            <a:ln w="9525" cap="flat" cmpd="sng" algn="ctr">
              <a:solidFill>
                <a:schemeClr val="lt1">
                  <a:lumMod val="95000"/>
                  <a:alpha val="10000"/>
                </a:schemeClr>
              </a:solidFill>
              <a:round/>
            </a:ln>
            <a:effectLst/>
          </c:spPr>
        </c:majorGridlines>
        <c:numFmt formatCode="&quot;$&quot;#,##0.00_);[Red]\(&quot;$&quot;#,##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41415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Maintenance vs Revenue - Project 2</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Forecast!$K$14</c:f>
              <c:strCache>
                <c:ptCount val="1"/>
                <c:pt idx="0">
                  <c:v>Maintenance Costs</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Forecast!$J$15:$J$19</c:f>
              <c:numCache>
                <c:formatCode>General</c:formatCode>
                <c:ptCount val="5"/>
                <c:pt idx="0">
                  <c:v>1</c:v>
                </c:pt>
                <c:pt idx="1">
                  <c:v>2</c:v>
                </c:pt>
                <c:pt idx="2">
                  <c:v>3</c:v>
                </c:pt>
                <c:pt idx="3">
                  <c:v>4</c:v>
                </c:pt>
                <c:pt idx="4">
                  <c:v>5</c:v>
                </c:pt>
              </c:numCache>
            </c:numRef>
          </c:cat>
          <c:val>
            <c:numRef>
              <c:f>Forecast!$K$15:$K$19</c:f>
              <c:numCache>
                <c:formatCode>"$"#,##0.00_);[Red]\("$"#,##0.00\)</c:formatCode>
                <c:ptCount val="5"/>
                <c:pt idx="0">
                  <c:v>35450000</c:v>
                </c:pt>
                <c:pt idx="1">
                  <c:v>34450000</c:v>
                </c:pt>
                <c:pt idx="2">
                  <c:v>33850000</c:v>
                </c:pt>
                <c:pt idx="3">
                  <c:v>34583333.333333336</c:v>
                </c:pt>
                <c:pt idx="4">
                  <c:v>34294444.444444448</c:v>
                </c:pt>
              </c:numCache>
            </c:numRef>
          </c:val>
          <c:smooth val="0"/>
          <c:extLst>
            <c:ext xmlns:c16="http://schemas.microsoft.com/office/drawing/2014/chart" uri="{C3380CC4-5D6E-409C-BE32-E72D297353CC}">
              <c16:uniqueId val="{00000000-0EE8-4F7A-8DAE-80467780F265}"/>
            </c:ext>
          </c:extLst>
        </c:ser>
        <c:ser>
          <c:idx val="1"/>
          <c:order val="1"/>
          <c:tx>
            <c:strRef>
              <c:f>Forecast!$L$14</c:f>
              <c:strCache>
                <c:ptCount val="1"/>
                <c:pt idx="0">
                  <c:v>Revenue</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Forecast!$J$15:$J$19</c:f>
              <c:numCache>
                <c:formatCode>General</c:formatCode>
                <c:ptCount val="5"/>
                <c:pt idx="0">
                  <c:v>1</c:v>
                </c:pt>
                <c:pt idx="1">
                  <c:v>2</c:v>
                </c:pt>
                <c:pt idx="2">
                  <c:v>3</c:v>
                </c:pt>
                <c:pt idx="3">
                  <c:v>4</c:v>
                </c:pt>
                <c:pt idx="4">
                  <c:v>5</c:v>
                </c:pt>
              </c:numCache>
            </c:numRef>
          </c:cat>
          <c:val>
            <c:numRef>
              <c:f>Forecast!$L$15:$L$19</c:f>
              <c:numCache>
                <c:formatCode>"$"#,##0.00_);[Red]\("$"#,##0.00\)</c:formatCode>
                <c:ptCount val="5"/>
                <c:pt idx="0">
                  <c:v>-2175000</c:v>
                </c:pt>
                <c:pt idx="1">
                  <c:v>12450000</c:v>
                </c:pt>
                <c:pt idx="2">
                  <c:v>8115000</c:v>
                </c:pt>
                <c:pt idx="3">
                  <c:v>6130000</c:v>
                </c:pt>
                <c:pt idx="4">
                  <c:v>8898333.333333334</c:v>
                </c:pt>
              </c:numCache>
            </c:numRef>
          </c:val>
          <c:smooth val="0"/>
          <c:extLst>
            <c:ext xmlns:c16="http://schemas.microsoft.com/office/drawing/2014/chart" uri="{C3380CC4-5D6E-409C-BE32-E72D297353CC}">
              <c16:uniqueId val="{00000001-0EE8-4F7A-8DAE-80467780F265}"/>
            </c:ext>
          </c:extLst>
        </c:ser>
        <c:dLbls>
          <c:showLegendKey val="0"/>
          <c:showVal val="0"/>
          <c:showCatName val="0"/>
          <c:showSerName val="0"/>
          <c:showPercent val="0"/>
          <c:showBubbleSize val="0"/>
        </c:dLbls>
        <c:smooth val="0"/>
        <c:axId val="529287736"/>
        <c:axId val="529285496"/>
      </c:lineChart>
      <c:catAx>
        <c:axId val="529287736"/>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29285496"/>
        <c:crosses val="autoZero"/>
        <c:auto val="1"/>
        <c:lblAlgn val="ctr"/>
        <c:lblOffset val="100"/>
        <c:noMultiLvlLbl val="0"/>
      </c:catAx>
      <c:valAx>
        <c:axId val="529285496"/>
        <c:scaling>
          <c:orientation val="minMax"/>
        </c:scaling>
        <c:delete val="0"/>
        <c:axPos val="l"/>
        <c:majorGridlines>
          <c:spPr>
            <a:ln w="9525" cap="flat" cmpd="sng" algn="ctr">
              <a:solidFill>
                <a:schemeClr val="lt1">
                  <a:lumMod val="95000"/>
                  <a:alpha val="10000"/>
                </a:schemeClr>
              </a:solidFill>
              <a:round/>
            </a:ln>
            <a:effectLst/>
          </c:spPr>
        </c:majorGridlines>
        <c:numFmt formatCode="&quot;$&quot;#,##0.00_);[Red]\(&quot;$&quot;#,##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292877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Revenue Comparison </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barChart>
        <c:barDir val="col"/>
        <c:grouping val="clustered"/>
        <c:varyColors val="0"/>
        <c:ser>
          <c:idx val="0"/>
          <c:order val="0"/>
          <c:tx>
            <c:strRef>
              <c:f>Forecast!$B$37</c:f>
              <c:strCache>
                <c:ptCount val="1"/>
                <c:pt idx="0">
                  <c:v>Revenue of project 1 using left values</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val>
            <c:numRef>
              <c:f>Forecast!$B$39:$B$43</c:f>
              <c:numCache>
                <c:formatCode>#,##0.00_);[Red]\(#,##0.00\)</c:formatCode>
                <c:ptCount val="5"/>
                <c:pt idx="0">
                  <c:v>39600000</c:v>
                </c:pt>
                <c:pt idx="1">
                  <c:v>7800000</c:v>
                </c:pt>
                <c:pt idx="2">
                  <c:v>-2880000</c:v>
                </c:pt>
                <c:pt idx="3">
                  <c:v>14840000</c:v>
                </c:pt>
                <c:pt idx="4">
                  <c:v>6586666.666666667</c:v>
                </c:pt>
              </c:numCache>
            </c:numRef>
          </c:val>
          <c:extLst>
            <c:ext xmlns:c16="http://schemas.microsoft.com/office/drawing/2014/chart" uri="{C3380CC4-5D6E-409C-BE32-E72D297353CC}">
              <c16:uniqueId val="{00000000-4FD6-4972-819A-8B08F0B402CD}"/>
            </c:ext>
          </c:extLst>
        </c:ser>
        <c:dLbls>
          <c:showLegendKey val="0"/>
          <c:showVal val="0"/>
          <c:showCatName val="0"/>
          <c:showSerName val="0"/>
          <c:showPercent val="0"/>
          <c:showBubbleSize val="0"/>
        </c:dLbls>
        <c:gapWidth val="315"/>
        <c:axId val="556020408"/>
        <c:axId val="556026808"/>
      </c:barChart>
      <c:lineChart>
        <c:grouping val="standard"/>
        <c:varyColors val="0"/>
        <c:ser>
          <c:idx val="1"/>
          <c:order val="1"/>
          <c:tx>
            <c:strRef>
              <c:f>Forecast!$C$37</c:f>
              <c:strCache>
                <c:ptCount val="1"/>
                <c:pt idx="0">
                  <c:v>Revenue of Project 2 using right values</c:v>
                </c:pt>
              </c:strCache>
            </c:strRef>
          </c:tx>
          <c:spPr>
            <a:ln w="22225" cap="rnd">
              <a:solidFill>
                <a:schemeClr val="accent2"/>
              </a:solidFill>
            </a:ln>
            <a:effectLst>
              <a:glow rad="139700">
                <a:schemeClr val="accent2">
                  <a:satMod val="175000"/>
                  <a:alpha val="14000"/>
                </a:schemeClr>
              </a:glow>
            </a:effectLst>
          </c:spPr>
          <c:marker>
            <c:symbol val="none"/>
          </c:marker>
          <c:val>
            <c:numRef>
              <c:f>Forecast!$C$39:$C$43</c:f>
              <c:numCache>
                <c:formatCode>#,##0.00_);[Red]\(#,##0.00\)</c:formatCode>
                <c:ptCount val="5"/>
                <c:pt idx="0">
                  <c:v>-2175000</c:v>
                </c:pt>
                <c:pt idx="1">
                  <c:v>12450000</c:v>
                </c:pt>
                <c:pt idx="2">
                  <c:v>8115000</c:v>
                </c:pt>
                <c:pt idx="3">
                  <c:v>6130000</c:v>
                </c:pt>
                <c:pt idx="4">
                  <c:v>8898333.333333334</c:v>
                </c:pt>
              </c:numCache>
            </c:numRef>
          </c:val>
          <c:smooth val="0"/>
          <c:extLst>
            <c:ext xmlns:c16="http://schemas.microsoft.com/office/drawing/2014/chart" uri="{C3380CC4-5D6E-409C-BE32-E72D297353CC}">
              <c16:uniqueId val="{00000001-4FD6-4972-819A-8B08F0B402CD}"/>
            </c:ext>
          </c:extLst>
        </c:ser>
        <c:dLbls>
          <c:showLegendKey val="0"/>
          <c:showVal val="0"/>
          <c:showCatName val="0"/>
          <c:showSerName val="0"/>
          <c:showPercent val="0"/>
          <c:showBubbleSize val="0"/>
        </c:dLbls>
        <c:marker val="1"/>
        <c:smooth val="0"/>
        <c:axId val="398226416"/>
        <c:axId val="398228656"/>
      </c:lineChart>
      <c:catAx>
        <c:axId val="556020408"/>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56026808"/>
        <c:crosses val="autoZero"/>
        <c:auto val="1"/>
        <c:lblAlgn val="ctr"/>
        <c:lblOffset val="100"/>
        <c:noMultiLvlLbl val="0"/>
      </c:catAx>
      <c:valAx>
        <c:axId val="556026808"/>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0.00_);[Red]\(#,##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56020408"/>
        <c:crosses val="autoZero"/>
        <c:crossBetween val="between"/>
      </c:valAx>
      <c:valAx>
        <c:axId val="398228656"/>
        <c:scaling>
          <c:orientation val="minMax"/>
        </c:scaling>
        <c:delete val="0"/>
        <c:axPos val="r"/>
        <c:numFmt formatCode="#,##0.00_);[Red]\(#,##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98226416"/>
        <c:crosses val="max"/>
        <c:crossBetween val="between"/>
      </c:valAx>
      <c:catAx>
        <c:axId val="398226416"/>
        <c:scaling>
          <c:orientation val="minMax"/>
        </c:scaling>
        <c:delete val="1"/>
        <c:axPos val="b"/>
        <c:majorTickMark val="out"/>
        <c:minorTickMark val="none"/>
        <c:tickLblPos val="nextTo"/>
        <c:crossAx val="398228656"/>
        <c:crosses val="autoZero"/>
        <c:auto val="1"/>
        <c:lblAlgn val="ctr"/>
        <c:lblOffset val="100"/>
        <c:noMultiLvlLbl val="0"/>
      </c:cat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4</Pages>
  <Words>868</Words>
  <Characters>4953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Dhapodkar</dc:creator>
  <cp:keywords/>
  <dc:description/>
  <cp:lastModifiedBy>Prathamesh Dhapodkar</cp:lastModifiedBy>
  <cp:revision>50</cp:revision>
  <dcterms:created xsi:type="dcterms:W3CDTF">2019-04-09T20:41:00Z</dcterms:created>
  <dcterms:modified xsi:type="dcterms:W3CDTF">2019-04-09T23:46:00Z</dcterms:modified>
</cp:coreProperties>
</file>