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Customer Personality Response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What We Did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built a campaign response classifier using the Customer Personality dataset.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was cleaned, categorical variables were one-hot encoded, and numeric features were imputed and scaled.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trained a Random Forest classifier with an 80/20 train–test split to predict whether a customer would respond to a marketing campaign.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How the Model Performed (Test Set)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Accuracy: 0.8884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(Responder): 0.8400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(Responder): 0.3134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(Responder): 0.4565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ROC–AUC: 0.8824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 AUC of 0.8824 indicates strong ability to separate responders from non-responders.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is high (0.84), meaning when the model predicts a responder, it is usually correct.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is lower (0.3134), meaning many true responders are missed.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is effective for cost control (avoids wasteful outreach) but could be improved if maximizing campaign reach is the goal.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Key Drivers of Response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Random Forest importance analysis, the strongest drivers included: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 and overall spending power.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recency (more recent customers tend to respond more).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patterns in categories such as wine and gold products.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history and complaint history (positive past interactions increase response likelihood).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Mistakes the Model Makes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Positives: Some customers were predicted as responders but did not respond (increasing campaign cost).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Negatives: Many true responders were missed (lost opportunities and revenue).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 the classification threshold to increase recall if maximizing responders is more valuable than reducing costs.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class balancing techniques (e.g., class weights or SMOTE) to improve detection of responders.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 RFM (Recency, Frequency, Monetary) features and engagement ratios to capture customer behavior better.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Gradient Boosting (XGBoost/LightGBM) with hyperparameter tuning for better performance.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Calibrate probabilities to align decision-making with business costs and benefits.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Random Forest model achieved strong AUC (0.8824) and high precision,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providing a reliable tool for cost-effective targeting.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adjustments to improve recall and additional feature engineering,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model can help marketing teams both reduce wasted spend and increase campaign effectiveness.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sZhpMHwZ62LRhC7iWsAkd6gAOQ==">CgMxLjA4AHIhMVdkWVRsZndZbmsxV2EwTE9ZU3ZXZ1BfN2Q0UTBPTTJ0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