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Marketing Campaign Response Prediction Report</w:t>
      </w:r>
    </w:p>
    <w:p/>
    <w:p>
      <w:pPr>
        <w:pStyle w:val="Heading2"/>
      </w:pPr>
      <w:r>
        <w:t>Model Performance</w:t>
      </w:r>
    </w:p>
    <w:p>
      <w:r>
        <w:t>-----------------</w:t>
      </w:r>
    </w:p>
    <w:p>
      <w:r>
        <w:t xml:space="preserve">The Random Forest model achieved an accuracy of ~85% and an AUC of ~0.88–0.90. </w:t>
      </w:r>
    </w:p>
    <w:p>
      <w:r>
        <w:t xml:space="preserve">This indicates strong separation between responders and non-responders. Recall values show that the model captured </w:t>
      </w:r>
    </w:p>
    <w:p>
      <w:r>
        <w:t xml:space="preserve">most responders, though precision was lower, meaning many predicted responders did not actually respond. </w:t>
      </w:r>
    </w:p>
    <w:p>
      <w:r>
        <w:t>This trade-off can be adjusted depending on campaign goals.</w:t>
      </w:r>
    </w:p>
    <w:p/>
    <w:p>
      <w:pPr>
        <w:pStyle w:val="Heading2"/>
      </w:pPr>
      <w:r>
        <w:t>Feature Importance</w:t>
      </w:r>
    </w:p>
    <w:p>
      <w:r>
        <w:t>------------------</w:t>
      </w:r>
    </w:p>
    <w:p>
      <w:r>
        <w:t>The most important features in predicting campaign response were:</w:t>
      </w:r>
    </w:p>
    <w:p>
      <w:pPr>
        <w:pStyle w:val="ListBullet"/>
      </w:pPr>
      <w:r>
        <w:t>Income: Higher-income customers showed higher response likelihood.</w:t>
      </w:r>
    </w:p>
    <w:p>
      <w:pPr>
        <w:pStyle w:val="ListBullet"/>
      </w:pPr>
      <w:r>
        <w:t>Customer recency (days since joining): Recent customers responded more often.</w:t>
      </w:r>
    </w:p>
    <w:p>
      <w:pPr>
        <w:pStyle w:val="ListBullet"/>
      </w:pPr>
      <w:r>
        <w:t>Purchase activity: Higher spending (e.g., wine, gold products) correlated with higher response rates.</w:t>
      </w:r>
    </w:p>
    <w:p>
      <w:pPr>
        <w:pStyle w:val="ListBullet"/>
      </w:pPr>
      <w:r>
        <w:t>Campaign history / complaints: Past behavior influenced future response.</w:t>
      </w:r>
    </w:p>
    <w:p/>
    <w:p>
      <w:pPr>
        <w:pStyle w:val="Heading2"/>
      </w:pPr>
      <w:r>
        <w:t>Recommendations for Improving Retention</w:t>
      </w:r>
    </w:p>
    <w:p>
      <w:r>
        <w:t>---------------------------------------</w:t>
      </w:r>
    </w:p>
    <w:p>
      <w:pPr>
        <w:pStyle w:val="ListBullet"/>
      </w:pPr>
      <w:r>
        <w:t>Target high-income and recently acquired customers with campaigns for maximum effectiveness.</w:t>
      </w:r>
    </w:p>
    <w:p>
      <w:pPr>
        <w:pStyle w:val="ListBullet"/>
      </w:pPr>
      <w:r>
        <w:t>Personalize offers based on purchase behavior (e.g., premium product buyers).</w:t>
      </w:r>
    </w:p>
    <w:p>
      <w:pPr>
        <w:pStyle w:val="ListBullet"/>
      </w:pPr>
      <w:r>
        <w:t>Re-engage customers with complaints or low past response with specialized offers.</w:t>
      </w:r>
    </w:p>
    <w:p>
      <w:pPr>
        <w:pStyle w:val="ListBullet"/>
      </w:pPr>
      <w:r>
        <w:t xml:space="preserve">Further improvements can be achieved with Gradient Boosting models (XGBoost/LightGBM), </w:t>
      </w:r>
    </w:p>
    <w:p>
      <w:r>
        <w:t xml:space="preserve">  class balancing techniques (SMOTE, class weights), and RFM feature engineering.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