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WATTWISE AI</w:t>
      </w:r>
    </w:p>
    <w:p>
      <w:pPr>
        <w:jc w:val="center"/>
      </w:pPr>
      <w:r>
        <w:rPr>
          <w:b/>
          <w:sz w:val="32"/>
        </w:rPr>
        <w:t>Home Energy Comfort &amp; Anomaly Intelligence</w:t>
      </w:r>
    </w:p>
    <w:p>
      <w:pPr>
        <w:jc w:val="center"/>
      </w:pPr>
      <w:r>
        <w:rPr>
          <w:b/>
        </w:rPr>
        <w:t>AICTE | IBM SkillsBuild Data Analytics with AI Internship 2026 | BharatCares</w:t>
        <w:br/>
      </w:r>
      <w:r>
        <w:t>Final Capstone Project Report</w:t>
      </w:r>
    </w:p>
    <w:p>
      <w:pPr>
        <w:pStyle w:val="Heading1"/>
      </w:pPr>
      <w:r>
        <w:t>1. Executive Summary</w:t>
      </w:r>
    </w:p>
    <w:p>
      <w:r>
        <w:t>WattWise AI is an end-to-end Data Analytics and AI/ML prototype that analyzes household appliance-energy consumption together with indoor environmental conditions. The project goes beyond simple energy forecasting by combining demand prediction, a relative Energy Pressure Index, a Comfort-Energy Conflict Index, model explainability and anomaly detection.</w:t>
      </w:r>
    </w:p>
    <w:p>
      <w:r>
        <w:t>The completed run found 18:00 as the peak average appliance-energy hour, with a peak-hour mean consumption of 190.47 Wh. High/Very-High comfort-energy conflict observations represented 50.1% of analyzed observations, the top 10% energy-pressure group represented 10.4%, and 3.0% of observations were detected as multivariate anomalies. Linear Regression was the strongest of the three evaluated models on the chronological holdout, with MAE 27.495, RMSE 61.015 and R² 0.546.</w:t>
      </w:r>
    </w:p>
    <w:p>
      <w:pPr>
        <w:pStyle w:val="Heading1"/>
      </w:pPr>
      <w:r>
        <w:t>2. Problem Statement</w:t>
      </w:r>
    </w:p>
    <w:p>
      <w:r>
        <w:t>Household energy data can show high consumption without explaining whether that consumption coincides with environmental conditions associated with comfort. A useful analytics system should therefore consider both energy demand and environmental context. WattWise AI addresses this by combining time-aware energy analytics, prediction, comfort-context analysis and anomaly detection.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Clean and structure high-frequency household energy observations.</w:t>
      </w:r>
    </w:p>
    <w:p>
      <w:pPr>
        <w:pStyle w:val="ListBullet"/>
      </w:pPr>
      <w:r>
        <w:t>Identify temporal patterns in appliance electricity consumption.</w:t>
      </w:r>
    </w:p>
    <w:p>
      <w:pPr>
        <w:pStyle w:val="ListBullet"/>
      </w:pPr>
      <w:r>
        <w:t>Create a relative Energy Pressure Index for within-dataset comparison.</w:t>
      </w:r>
    </w:p>
    <w:p>
      <w:pPr>
        <w:pStyle w:val="ListBullet"/>
      </w:pPr>
      <w:r>
        <w:t>Create a Comfort-Energy Conflict Index that highlights high-energy periods occurring with less favorable comfort conditions.</w:t>
      </w:r>
    </w:p>
    <w:p>
      <w:pPr>
        <w:pStyle w:val="ListBullet"/>
      </w:pPr>
      <w:r>
        <w:t>Compare Linear Regression, Random Forest and Gradient Boosting for appliance-energy prediction.</w:t>
      </w:r>
    </w:p>
    <w:p>
      <w:pPr>
        <w:pStyle w:val="ListBullet"/>
      </w:pPr>
      <w:r>
        <w:t>Evaluate models using MAE, RMSE and R² on a chronological holdout.</w:t>
      </w:r>
    </w:p>
    <w:p>
      <w:pPr>
        <w:pStyle w:val="ListBullet"/>
      </w:pPr>
      <w:r>
        <w:t>Explain predictive drivers using permutation importance.</w:t>
      </w:r>
    </w:p>
    <w:p>
      <w:pPr>
        <w:pStyle w:val="ListBullet"/>
      </w:pPr>
      <w:r>
        <w:t>Detect unusual multivariate energy/environment observations using Isolation Forest.</w:t>
      </w:r>
    </w:p>
    <w:p>
      <w:pPr>
        <w:pStyle w:val="ListBullet"/>
      </w:pPr>
      <w:r>
        <w:t>Generate an analyst-style summary and SDG-oriented recommendations.</w:t>
      </w:r>
    </w:p>
    <w:p>
      <w:pPr>
        <w:pStyle w:val="Heading1"/>
      </w:pPr>
      <w:r>
        <w:t>4. Dataset Description</w:t>
      </w:r>
    </w:p>
    <w:p>
      <w:r>
        <w:t>The project uses the UCI Machine Learning Repository Appliances Energy Prediction dataset. The dataset contains 19,735 observations recorded at 10-minute intervals over approximately 4.5 months. It includes appliance energy consumption, lighting, indoor and outdoor temperature and humidity measurements, and weather-related variables.</w:t>
      </w:r>
    </w:p>
    <w:p>
      <w:r>
        <w:t>Dataset: UCI Machine Learning Repository — Appliances Energy Prediction</w:t>
      </w:r>
    </w:p>
    <w:p>
      <w:r>
        <w:t>Source: https://archive.ics.uci.edu/dataset/374/appliances%2Benergy%2Bprediction</w:t>
      </w:r>
    </w:p>
    <w:p>
      <w:r>
        <w:t>DOI: 10.24432/C5VC8G</w:t>
      </w:r>
    </w:p>
    <w:p>
      <w:pPr>
        <w:pStyle w:val="Heading1"/>
      </w:pPr>
      <w:r>
        <w:t>5. Proposed Solution and Workflow</w:t>
      </w:r>
    </w:p>
    <w:p>
      <w:r>
        <w:t>The workflow is: Dataset → Cleaning → Timestamp Engineering → Lag/Rolling Features → EDA → Energy Pressure → Comfort-Energy Conflict → Time-Ordered ML → Explainability → Anomaly Detection → Analyst Brief → Recommendations.</w:t>
      </w:r>
    </w:p>
    <w:p>
      <w:r>
        <w:t>The distinctive component is the Comfort-Energy Conflict Index. Instead of labeling high energy use as automatically wasteful, the prototype considers whether high energy pressure occurs together with less favorable comfort-context conditions.</w:t>
      </w:r>
    </w:p>
    <w:p>
      <w:pPr>
        <w:pStyle w:val="Heading1"/>
      </w:pPr>
      <w:r>
        <w:t>6. Data Preprocessing and Feature Engineering</w:t>
      </w:r>
    </w:p>
    <w:p>
      <w:pPr>
        <w:pStyle w:val="ListBullet"/>
      </w:pPr>
      <w:r>
        <w:t>Parsed the timestamp and sorted observations chronologically.</w:t>
      </w:r>
    </w:p>
    <w:p>
      <w:pPr>
        <w:pStyle w:val="ListBullet"/>
      </w:pPr>
      <w:r>
        <w:t>Converted measurement columns to numeric values and handled missing observations.</w:t>
      </w:r>
    </w:p>
    <w:p>
      <w:pPr>
        <w:pStyle w:val="ListBullet"/>
      </w:pPr>
      <w:r>
        <w:t>Created appliance-energy lag features such as appliance_lag_1 and appliance_lag_3.</w:t>
      </w:r>
    </w:p>
    <w:p>
      <w:pPr>
        <w:pStyle w:val="ListBullet"/>
      </w:pPr>
      <w:r>
        <w:t>Created rolling appliance-energy means over recent time windows.</w:t>
      </w:r>
    </w:p>
    <w:p>
      <w:pPr>
        <w:pStyle w:val="ListBullet"/>
      </w:pPr>
      <w:r>
        <w:t>Created hourly cyclical features using sine/cosine encoding.</w:t>
      </w:r>
    </w:p>
    <w:p>
      <w:pPr>
        <w:pStyle w:val="ListBullet"/>
      </w:pPr>
      <w:r>
        <w:t>Created time-derived features such as hour and day-related indicators.</w:t>
      </w:r>
    </w:p>
    <w:p>
      <w:pPr>
        <w:pStyle w:val="ListBullet"/>
      </w:pPr>
      <w:r>
        <w:t>Generated a feature-engineered dataset containing 19,717 observations and 41 features.</w:t>
      </w:r>
    </w:p>
    <w:p>
      <w:pPr>
        <w:pStyle w:val="Heading1"/>
      </w:pPr>
      <w:r>
        <w:t>7. Exploratory and Temporal Analysis</w:t>
      </w:r>
    </w:p>
    <w:p>
      <w:r>
        <w:t>The completed analysis identified 18:00 as the peak average appliance-energy hour, with a peak-hour mean appliance-energy value of 190.47 Wh. The actual-vs-predicted visualization shows that the selected linear model follows the broad temporal pattern but underestimates several high-consumption spikes.</w:t>
      </w:r>
    </w:p>
    <w:p>
      <w:pPr>
        <w:pStyle w:val="Heading1"/>
      </w:pPr>
      <w:r>
        <w:t>8. Energy Pressure and Comfort-Energy Conflict</w:t>
      </w:r>
    </w:p>
    <w:p>
      <w:r>
        <w:t>The project calculates a relative Energy Pressure Index and a Comfort-Energy Conflict Index. The conflict indicator is intended to identify periods where energy demand is high while the environmental context suggests a potential comfort-related demand relationship.</w:t>
      </w:r>
    </w:p>
    <w:p>
      <w:r>
        <w:t>Completed conflict-band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Conflict Band</w:t>
            </w:r>
          </w:p>
        </w:tc>
        <w:tc>
          <w:tcPr>
            <w:tcW w:type="dxa" w:w="5040"/>
          </w:tcPr>
          <w:p>
            <w:r>
              <w:t>Percent</w:t>
            </w:r>
          </w:p>
        </w:tc>
      </w:tr>
      <w:tr>
        <w:tc>
          <w:tcPr>
            <w:tcW w:type="dxa" w:w="50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39.70%</w:t>
            </w:r>
          </w:p>
        </w:tc>
      </w:tr>
      <w:tr>
        <w:tc>
          <w:tcPr>
            <w:tcW w:type="dxa" w:w="5040"/>
          </w:tcPr>
          <w:p>
            <w:r>
              <w:t>Moderate</w:t>
            </w:r>
          </w:p>
        </w:tc>
        <w:tc>
          <w:tcPr>
            <w:tcW w:type="dxa" w:w="5040"/>
          </w:tcPr>
          <w:p>
            <w:r>
              <w:t>39.52%</w:t>
            </w:r>
          </w:p>
        </w:tc>
      </w:tr>
      <w:tr>
        <w:tc>
          <w:tcPr>
            <w:tcW w:type="dxa" w:w="5040"/>
          </w:tcPr>
          <w:p>
            <w:r>
              <w:t>Very High</w:t>
            </w:r>
          </w:p>
        </w:tc>
        <w:tc>
          <w:tcPr>
            <w:tcW w:type="dxa" w:w="5040"/>
          </w:tcPr>
          <w:p>
            <w:r>
              <w:t>10.41%</w:t>
            </w:r>
          </w:p>
        </w:tc>
      </w:tr>
      <w:tr>
        <w:tc>
          <w:tcPr>
            <w:tcW w:type="dxa" w:w="5040"/>
          </w:tcPr>
          <w:p>
            <w:r>
              <w:t>Low</w:t>
            </w:r>
          </w:p>
        </w:tc>
        <w:tc>
          <w:tcPr>
            <w:tcW w:type="dxa" w:w="5040"/>
          </w:tcPr>
          <w:p>
            <w:r>
              <w:t>10.36%</w:t>
            </w:r>
          </w:p>
        </w:tc>
      </w:tr>
    </w:tbl>
    <w:p>
      <w:r>
        <w:t>The completed analyst brief reports that 50.1% of observations were in the combined High/Very-High comfort-energy conflict bands. The project treats this as an analytical screening indicator, not as proof of energy waste or a universal comfort violation.</w:t>
      </w:r>
    </w:p>
    <w:p>
      <w:pPr>
        <w:pStyle w:val="Heading1"/>
      </w:pPr>
      <w:r>
        <w:t>9. Machine Learning Methodology</w:t>
      </w:r>
    </w:p>
    <w:p>
      <w:r>
        <w:t>Appliance energy consumption was used as the prediction target. A chronological holdout was used to evaluate performance on later observations rather than randomly mixing time periods. Three regression models were evaluated.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Model</w:t>
            </w:r>
          </w:p>
        </w:tc>
        <w:tc>
          <w:tcPr>
            <w:tcW w:type="dxa" w:w="2520"/>
          </w:tcPr>
          <w:p>
            <w:r>
              <w:t>MAE</w:t>
            </w:r>
          </w:p>
        </w:tc>
        <w:tc>
          <w:tcPr>
            <w:tcW w:type="dxa" w:w="2520"/>
          </w:tcPr>
          <w:p>
            <w:r>
              <w:t>RMSE</w:t>
            </w:r>
          </w:p>
        </w:tc>
        <w:tc>
          <w:tcPr>
            <w:tcW w:type="dxa" w:w="2520"/>
          </w:tcPr>
          <w:p>
            <w:r>
              <w:t>R²</w:t>
            </w:r>
          </w:p>
        </w:tc>
      </w:tr>
      <w:tr>
        <w:tc>
          <w:tcPr>
            <w:tcW w:type="dxa" w:w="2520"/>
          </w:tcPr>
          <w:p>
            <w:r>
              <w:t>Linear Regression</w:t>
            </w:r>
          </w:p>
        </w:tc>
        <w:tc>
          <w:tcPr>
            <w:tcW w:type="dxa" w:w="2520"/>
          </w:tcPr>
          <w:p>
            <w:r>
              <w:t>27.495</w:t>
            </w:r>
          </w:p>
        </w:tc>
        <w:tc>
          <w:tcPr>
            <w:tcW w:type="dxa" w:w="2520"/>
          </w:tcPr>
          <w:p>
            <w:r>
              <w:t>61.015</w:t>
            </w:r>
          </w:p>
        </w:tc>
        <w:tc>
          <w:tcPr>
            <w:tcW w:type="dxa" w:w="2520"/>
          </w:tcPr>
          <w:p>
            <w:r>
              <w:t>0.546</w:t>
            </w:r>
          </w:p>
        </w:tc>
      </w:tr>
      <w:tr>
        <w:tc>
          <w:tcPr>
            <w:tcW w:type="dxa" w:w="2520"/>
          </w:tcPr>
          <w:p>
            <w:r>
              <w:t>Random Forest</w:t>
            </w:r>
          </w:p>
        </w:tc>
        <w:tc>
          <w:tcPr>
            <w:tcW w:type="dxa" w:w="2520"/>
          </w:tcPr>
          <w:p>
            <w:r>
              <w:t>55.665</w:t>
            </w:r>
          </w:p>
        </w:tc>
        <w:tc>
          <w:tcPr>
            <w:tcW w:type="dxa" w:w="2520"/>
          </w:tcPr>
          <w:p>
            <w:r>
              <w:t>86.971</w:t>
            </w:r>
          </w:p>
        </w:tc>
        <w:tc>
          <w:tcPr>
            <w:tcW w:type="dxa" w:w="2520"/>
          </w:tcPr>
          <w:p>
            <w:r>
              <w:t>0.078</w:t>
            </w:r>
          </w:p>
        </w:tc>
      </w:tr>
      <w:tr>
        <w:tc>
          <w:tcPr>
            <w:tcW w:type="dxa" w:w="2520"/>
          </w:tcPr>
          <w:p>
            <w:r>
              <w:t>Gradient Boosting</w:t>
            </w:r>
          </w:p>
        </w:tc>
        <w:tc>
          <w:tcPr>
            <w:tcW w:type="dxa" w:w="2520"/>
          </w:tcPr>
          <w:p>
            <w:r>
              <w:t>91.358</w:t>
            </w:r>
          </w:p>
        </w:tc>
        <w:tc>
          <w:tcPr>
            <w:tcW w:type="dxa" w:w="2520"/>
          </w:tcPr>
          <w:p>
            <w:r>
              <w:t>118.476</w:t>
            </w:r>
          </w:p>
        </w:tc>
        <w:tc>
          <w:tcPr>
            <w:tcW w:type="dxa" w:w="2520"/>
          </w:tcPr>
          <w:p>
            <w:r>
              <w:t>-0.712</w:t>
            </w:r>
          </w:p>
        </w:tc>
      </w:tr>
    </w:tbl>
    <w:p>
      <w:r>
        <w:t>Linear Regression produced the lowest holdout RMSE (61.015), the lowest MAE (27.495) and the highest R² (0.546) among the evaluated models in the completed run. The result is specific to this dataset, feature set and chronological holdout and should be revalidated on newer data.</w:t>
      </w:r>
    </w:p>
    <w:p>
      <w:pPr>
        <w:pStyle w:val="Heading1"/>
      </w:pPr>
      <w:r>
        <w:t>10. Prediction Error Analysis</w:t>
      </w:r>
    </w:p>
    <w:p>
      <w:r>
        <w:t>The actual-vs-predicted plot shows that Linear Regression captures the broad consumption pattern but does not reproduce every sharp appliance-energy spike. The residual distribution is concentrated near zero but has substantial tails, indicating larger errors during some high-demand periods.</w:t>
      </w:r>
    </w:p>
    <w:p>
      <w:pPr>
        <w:pStyle w:val="Heading1"/>
      </w:pPr>
      <w:r>
        <w:t>11. Model Explainability</w:t>
      </w:r>
    </w:p>
    <w:p>
      <w:r>
        <w:t>Permutation importance was used to estimate the predictive reliance of the selected Linear Regression model on individual features. The strongest predictive driver was appliance_lag_1 with a mean importance of 45.424.</w:t>
      </w:r>
    </w:p>
    <w:p>
      <w:pPr>
        <w:pStyle w:val="ListBullet"/>
      </w:pPr>
      <w:r>
        <w:t>Strongest predictive driver: appliance_lag_1 — mean importance 45.424.</w:t>
      </w:r>
    </w:p>
    <w:p>
      <w:pPr>
        <w:pStyle w:val="ListBullet"/>
      </w:pPr>
      <w:r>
        <w:t>Other visible important drivers include RH_1 and RH_2.</w:t>
      </w:r>
    </w:p>
    <w:p>
      <w:pPr>
        <w:pStyle w:val="ListBullet"/>
      </w:pPr>
      <w:r>
        <w:t>Recent appliance-energy history is therefore strongly associated with the model's predictions.</w:t>
      </w:r>
    </w:p>
    <w:p>
      <w:pPr>
        <w:pStyle w:val="ListBullet"/>
      </w:pPr>
      <w:r>
        <w:t>Permutation importance indicates predictive reliance and does not establish causation.</w:t>
      </w:r>
    </w:p>
    <w:p>
      <w:pPr>
        <w:pStyle w:val="Heading1"/>
      </w:pPr>
      <w:r>
        <w:t>12. Anomaly Detection</w:t>
      </w:r>
    </w:p>
    <w:p>
      <w:r>
        <w:t>Isolation Forest was applied to the analytical feature space to identify unusual combinations of energy and environmental variables. The completed run detected a 3.00% anomaly rate.</w:t>
      </w:r>
    </w:p>
    <w:p>
      <w:r>
        <w:t>Examples of high anomaly-score observations included records with high energy pressure and high comfort-energy conflict values. These should be investigated as unusual patterns; an anomaly flag does not automatically diagnose a fault or sensor failure.</w:t>
      </w:r>
    </w:p>
    <w:p>
      <w:pPr>
        <w:pStyle w:val="Heading1"/>
      </w:pPr>
      <w:r>
        <w:t>13. Final WattWise AI Analyst Brief</w:t>
      </w:r>
    </w:p>
    <w:p>
      <w:pPr>
        <w:pStyle w:val="ListBullet"/>
      </w:pPr>
      <w:r>
        <w:t>Peak average appliance-energy hour: 18:00</w:t>
      </w:r>
    </w:p>
    <w:p>
      <w:pPr>
        <w:pStyle w:val="ListBullet"/>
      </w:pPr>
      <w:r>
        <w:t>Peak-hour mean appliance energy: 190.47 Wh</w:t>
      </w:r>
    </w:p>
    <w:p>
      <w:pPr>
        <w:pStyle w:val="ListBullet"/>
      </w:pPr>
      <w:r>
        <w:t>High/Very-High comfort-energy conflict observations: 50.1%</w:t>
      </w:r>
    </w:p>
    <w:p>
      <w:pPr>
        <w:pStyle w:val="ListBullet"/>
      </w:pPr>
      <w:r>
        <w:t>Top 10% energy-pressure observations: 10.4%</w:t>
      </w:r>
    </w:p>
    <w:p>
      <w:pPr>
        <w:pStyle w:val="ListBullet"/>
      </w:pPr>
      <w:r>
        <w:t>Detected multivariate anomalies: 3.0%</w:t>
      </w:r>
    </w:p>
    <w:p>
      <w:pPr>
        <w:pStyle w:val="ListBullet"/>
      </w:pPr>
      <w:r>
        <w:t>Best holdout model by RMSE: Linear Regression</w:t>
      </w:r>
    </w:p>
    <w:p>
      <w:pPr>
        <w:pStyle w:val="ListBullet"/>
      </w:pPr>
      <w:r>
        <w:t>Best model MAE: 27.50</w:t>
      </w:r>
    </w:p>
    <w:p>
      <w:pPr>
        <w:pStyle w:val="ListBullet"/>
      </w:pPr>
      <w:r>
        <w:t>Best model RMSE: 61.01</w:t>
      </w:r>
    </w:p>
    <w:p>
      <w:pPr>
        <w:pStyle w:val="ListBullet"/>
      </w:pPr>
      <w:r>
        <w:t>Best model R²: 0.546</w:t>
      </w:r>
    </w:p>
    <w:p>
      <w:pPr>
        <w:pStyle w:val="ListBullet"/>
      </w:pPr>
      <w:r>
        <w:t>Strongest predictive driver: appliance_lag_1 (45.424)</w:t>
      </w:r>
    </w:p>
    <w:p>
      <w:pPr>
        <w:pStyle w:val="Heading1"/>
      </w:pPr>
      <w:r>
        <w:t>14. Key Findings</w:t>
      </w:r>
    </w:p>
    <w:p>
      <w:pPr>
        <w:pStyle w:val="ListBullet"/>
      </w:pPr>
      <w:r>
        <w:t>18:00 was the peak average appliance-energy hour in the completed analysis.</w:t>
      </w:r>
    </w:p>
    <w:p>
      <w:pPr>
        <w:pStyle w:val="ListBullet"/>
      </w:pPr>
      <w:r>
        <w:t>The mean appliance energy at the peak hour was 190.47 Wh.</w:t>
      </w:r>
    </w:p>
    <w:p>
      <w:pPr>
        <w:pStyle w:val="ListBullet"/>
      </w:pPr>
      <w:r>
        <w:t>50.1% of observations fell into the combined High/Very-High comfort-energy conflict bands.</w:t>
      </w:r>
    </w:p>
    <w:p>
      <w:pPr>
        <w:pStyle w:val="ListBullet"/>
      </w:pPr>
      <w:r>
        <w:t>10.4% of observations were in the top energy-pressure group.</w:t>
      </w:r>
    </w:p>
    <w:p>
      <w:pPr>
        <w:pStyle w:val="ListBullet"/>
      </w:pPr>
      <w:r>
        <w:t>3.0% of observations were flagged as multivariate anomalies.</w:t>
      </w:r>
    </w:p>
    <w:p>
      <w:pPr>
        <w:pStyle w:val="ListBullet"/>
      </w:pPr>
      <w:r>
        <w:t>Linear Regression achieved MAE 27.495, RMSE 61.015 and R² 0.546 on the chronological holdout.</w:t>
      </w:r>
    </w:p>
    <w:p>
      <w:pPr>
        <w:pStyle w:val="ListBullet"/>
      </w:pPr>
      <w:r>
        <w:t>Recent appliance-energy history, represented by appliance_lag_1, was the strongest predictive driver in the permutation-importance analysis.</w:t>
      </w:r>
    </w:p>
    <w:p>
      <w:pPr>
        <w:pStyle w:val="Heading1"/>
      </w:pPr>
      <w:r>
        <w:t>15. Business and SDG-Oriented Recommendations</w:t>
      </w:r>
    </w:p>
    <w:p>
      <w:r>
        <w:rPr>
          <w:b/>
        </w:rPr>
        <w:t xml:space="preserve">Time-aware load planning: </w:t>
      </w:r>
      <w:r>
        <w:t>Focus monitoring and demand-management efforts around recurring high-load periods.</w:t>
      </w:r>
    </w:p>
    <w:p>
      <w:r>
        <w:rPr>
          <w:b/>
        </w:rPr>
        <w:t xml:space="preserve">Comfort-aware efficiency: </w:t>
      </w:r>
      <w:r>
        <w:t>Inspect high conflict periods before recommending changes to heating or cooling behavior.</w:t>
      </w:r>
    </w:p>
    <w:p>
      <w:r>
        <w:rPr>
          <w:b/>
        </w:rPr>
        <w:t xml:space="preserve">Anomaly review: </w:t>
      </w:r>
      <w:r>
        <w:t>Investigate unusual energy/environment combinations for possible operational or sensor issues.</w:t>
      </w:r>
    </w:p>
    <w:p>
      <w:r>
        <w:rPr>
          <w:b/>
        </w:rPr>
        <w:t xml:space="preserve">Predictive monitoring: </w:t>
      </w:r>
      <w:r>
        <w:t>Validate the selected model on newer household or building data before deployment.</w:t>
      </w:r>
    </w:p>
    <w:p>
      <w:r>
        <w:rPr>
          <w:b/>
        </w:rPr>
        <w:t xml:space="preserve">Dashboard integration: </w:t>
      </w:r>
      <w:r>
        <w:t>Track energy pressure, conflict bands, anomalies and prediction error over time.</w:t>
      </w:r>
    </w:p>
    <w:p>
      <w:r>
        <w:t>SDG Alignment</w:t>
      </w:r>
    </w:p>
    <w:p>
      <w:pPr>
        <w:pStyle w:val="ListBullet"/>
      </w:pPr>
      <w:r>
        <w:t>SDG 7 — Affordable and Clean Energy: supports energy-efficiency analysis.</w:t>
      </w:r>
    </w:p>
    <w:p>
      <w:pPr>
        <w:pStyle w:val="ListBullet"/>
      </w:pPr>
      <w:r>
        <w:t>SDG 11 — Sustainable Cities and Communities: supports data-driven understanding of building energy behavior.</w:t>
      </w:r>
    </w:p>
    <w:p>
      <w:pPr>
        <w:pStyle w:val="ListBullet"/>
      </w:pPr>
      <w:r>
        <w:t>SDG 12 — Responsible Consumption and Production: supports more informed resource-use decisions.</w:t>
      </w:r>
    </w:p>
    <w:p>
      <w:pPr>
        <w:pStyle w:val="Heading1"/>
      </w:pPr>
      <w:r>
        <w:t>16. Limitations and Responsible AI</w:t>
      </w:r>
    </w:p>
    <w:p>
      <w:pPr>
        <w:pStyle w:val="ListBullet"/>
      </w:pPr>
      <w:r>
        <w:t>The dataset represents one low-energy house and a historical approximately 4.5-month observation period.</w:t>
      </w:r>
    </w:p>
    <w:p>
      <w:pPr>
        <w:pStyle w:val="ListBullet"/>
      </w:pPr>
      <w:r>
        <w:t>Comfort bands used in the prototype are configurable analytical assumptions, not universal building standards.</w:t>
      </w:r>
    </w:p>
    <w:p>
      <w:pPr>
        <w:pStyle w:val="ListBullet"/>
      </w:pPr>
      <w:r>
        <w:t>High energy use does not automatically imply waste.</w:t>
      </w:r>
    </w:p>
    <w:p>
      <w:pPr>
        <w:pStyle w:val="ListBullet"/>
      </w:pPr>
      <w:r>
        <w:t>Anomaly detection identifies unusual patterns; it does not diagnose faults.</w:t>
      </w:r>
    </w:p>
    <w:p>
      <w:pPr>
        <w:pStyle w:val="ListBullet"/>
      </w:pPr>
      <w:r>
        <w:t>Model performance may change across buildings, climates and appliance mixes.</w:t>
      </w:r>
    </w:p>
    <w:p>
      <w:pPr>
        <w:pStyle w:val="ListBullet"/>
      </w:pPr>
      <w:r>
        <w:t>Predictive feature importance does not establish causality.</w:t>
      </w:r>
    </w:p>
    <w:p>
      <w:pPr>
        <w:pStyle w:val="ListBullet"/>
      </w:pPr>
      <w:r>
        <w:t>Production deployment should be validated with current local data and domain experts.</w:t>
      </w:r>
    </w:p>
    <w:p>
      <w:pPr>
        <w:pStyle w:val="Heading1"/>
      </w:pPr>
      <w:r>
        <w:t>17. Technologies Used</w:t>
      </w:r>
    </w:p>
    <w:p>
      <w:r>
        <w:t>Python, Google Colab/Jupyter Notebook, Pandas, NumPy, Matplotlib, Seaborn and Scikit-learn.</w:t>
      </w:r>
    </w:p>
    <w:p>
      <w:pPr>
        <w:pStyle w:val="Heading1"/>
      </w:pPr>
      <w:r>
        <w:t>18. Reproducibility</w:t>
      </w:r>
    </w:p>
    <w:p>
      <w:pPr>
        <w:pStyle w:val="ListBullet"/>
      </w:pPr>
      <w:r>
        <w:t>Install dependencies from requirements.txt.</w:t>
      </w:r>
    </w:p>
    <w:p>
      <w:pPr>
        <w:pStyle w:val="ListBullet"/>
      </w:pPr>
      <w:r>
        <w:t>Open PrathameshJagtap_WattWiseAI.ipynb in Google Colab or Jupyter Notebook.</w:t>
      </w:r>
    </w:p>
    <w:p>
      <w:pPr>
        <w:pStyle w:val="ListBullet"/>
      </w:pPr>
      <w:r>
        <w:t>Run all cells from top to bottom.</w:t>
      </w:r>
    </w:p>
    <w:p>
      <w:pPr>
        <w:pStyle w:val="ListBullet"/>
      </w:pPr>
      <w:r>
        <w:t>Internet access is required if the notebook needs to retrieve the dataset.</w:t>
      </w:r>
    </w:p>
    <w:p>
      <w:pPr>
        <w:pStyle w:val="ListBullet"/>
      </w:pPr>
      <w:r>
        <w:t>Results are generated dynamically from the dataset.</w:t>
      </w:r>
    </w:p>
    <w:p>
      <w:pPr>
        <w:pStyle w:val="Heading1"/>
      </w:pPr>
      <w:r>
        <w:t>19. Deliverables</w:t>
      </w:r>
    </w:p>
    <w:p>
      <w:pPr>
        <w:pStyle w:val="ListBullet"/>
      </w:pPr>
      <w:r>
        <w:t>PrathameshJagtap_WattWiseAI.ipynb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PrathameshJagtap_ProjectReport.docx</w:t>
      </w:r>
    </w:p>
    <w:p>
      <w:pPr>
        <w:pStyle w:val="ListBullet"/>
      </w:pPr>
      <w:r>
        <w:t>README.md</w:t>
      </w:r>
    </w:p>
    <w:p>
      <w:pPr>
        <w:pStyle w:val="Heading1"/>
      </w:pPr>
      <w:r>
        <w:t>20. Conclusion</w:t>
      </w:r>
    </w:p>
    <w:p>
      <w:r>
        <w:t>WattWise AI demonstrates a complete Data Analytics and AI/ML workflow that moves from raw household energy observations to temporal patterns, predictive modeling, explainability and anomaly intelligence. The Comfort-Energy Conflict Index adds environmental context to energy analysis instead of treating high consumption as automatically wasteful. The completed results provide a reproducible analytical prototype that can be extended with newer household/building data and a live monitoring dashboard.</w:t>
      </w:r>
    </w:p>
    <w:p>
      <w:pPr>
        <w:pStyle w:val="Heading1"/>
      </w:pPr>
      <w:r>
        <w:t>21. References</w:t>
      </w:r>
    </w:p>
    <w:p>
      <w:r>
        <w:t>UCI Machine Learning Repository. Appliances Energy Prediction dataset. DOI: 10.24432/C5VC8G.</w:t>
      </w:r>
    </w:p>
    <w:p>
      <w:r>
        <w:t>https://archive.ics.uci.edu/dataset/374/appliances%2Benergy%2Bprediction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