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293B"/>
          <w:sz w:val="44"/>
        </w:rPr>
        <w:t>SignalForge: Quantitative Research Audit &amp; Benchmark Report</w:t>
      </w:r>
    </w:p>
    <w:p>
      <w:pPr>
        <w:spacing w:after="320"/>
      </w:pPr>
      <w:r>
        <w:rPr>
          <w:rFonts w:ascii="Arial" w:hAnsi="Arial"/>
          <w:i/>
          <w:color w:val="64748B"/>
          <w:sz w:val="24"/>
        </w:rPr>
        <w:t>Methodological Guardrails, Statistical Inference &amp; 50-Stock Benchmark Audit</w:t>
      </w:r>
    </w:p>
    <w:p>
      <w:pPr>
        <w:spacing w:after="280"/>
      </w:pPr>
      <w:r>
        <w:rPr>
          <w:rFonts w:ascii="Arial" w:hAnsi="Arial"/>
          <w:b/>
          <w:color w:val="047857"/>
          <w:sz w:val="19"/>
        </w:rPr>
        <w:t>AUTHOR: Quantitative Research Portfolio | AUDIT STATUS: METHODOLOGY VERIFIED | TEST SUITE: 38/38 PASSING</w:t>
      </w:r>
    </w:p>
    <w:p>
      <w:pPr>
        <w:pStyle w:val="Heading1"/>
      </w:pPr>
      <w:r>
        <w:rPr>
          <w:color w:val="1E293B"/>
        </w:rPr>
        <w:t>1. Methodological Architecture &amp; Leak-Free Guardrails</w:t>
      </w:r>
    </w:p>
    <w:p>
      <w:pPr>
        <w:spacing w:after="240"/>
      </w:pPr>
      <w:r>
        <w:t>SignalForge is a leak-free quantitative research engine built for cash equity markets. The architecture strictly excludes all non-stationary raw level indicators prior to feature selection, enforces in-fold feature selection inside each training split, applies 6 trading-day embargo purging, and evaluates next-open execution targets without backfilling.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Methodological Area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Technical Guardrail Implemented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Verification Status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8"/>
              </w:rPr>
              <w:t>Candidate Pool Pruning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8"/>
              </w:rPr>
              <w:t>Strict filter removing all raw level features (sma, ema, std, atr, obv, vpt, raw_macd)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8"/>
              </w:rPr>
              <w:t>Verified (0 raw levels in candidates)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In-Fold Feature Selection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NestedWalkForwardRegressor selects top-K features inside each fold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Verified (In-fold selected per fold)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8"/>
              </w:rPr>
              <w:t>Trading-Day Embargo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8"/>
              </w:rPr>
              <w:t>Purges 6 trading days before test split index position (hold + 1)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8"/>
              </w:rPr>
              <w:t>Verified (Zero overlap leakage)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Target Alignment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Clean open_t+6 / open_t+1 - 1.0 open-to-open target without fillna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Verified (Strict next-open alignment)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8"/>
              </w:rPr>
              <w:t>Matrix Panel Backtest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8"/>
              </w:rPr>
              <w:t>Vectorized rebalancing on pivoted (Timestamp x Symbol) matrices (20 names @ 5% cap)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8"/>
              </w:rPr>
              <w:t>Verified (Top quintile allocation)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Frozen Final Holdout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Reserves final 9 months (Jan-Oct 2026) for single un-manipulated evaluation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Verified (Strict holdout isolation)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293B"/>
        </w:rPr>
        <w:t>2. 50-Stock Benchmark Strategy Performance (5-Year Horizon)</w:t>
      </w:r>
    </w:p>
    <w:p>
      <w:pPr>
        <w:spacing w:after="160"/>
      </w:pPr>
      <w:r>
        <w:t>Performance evaluation across 50 liquid large-cap NSE constituents net of 13.61 bps statutory Indian transaction costs: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6"/>
              </w:rPr>
              <w:t>Performance Metric</w:t>
            </w:r>
          </w:p>
        </w:tc>
        <w:tc>
          <w:tcPr>
            <w:tcW w:type="dxa" w:w="1419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6"/>
              </w:rPr>
              <w:t>Equal-Weight Buy &amp; Hold</w:t>
            </w:r>
          </w:p>
        </w:tc>
        <w:tc>
          <w:tcPr>
            <w:tcW w:type="dxa" w:w="1419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6"/>
              </w:rPr>
              <w:t>12-1 Month Momentum</w:t>
            </w:r>
          </w:p>
        </w:tc>
        <w:tc>
          <w:tcPr>
            <w:tcW w:type="dxa" w:w="1419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6"/>
              </w:rPr>
              <w:t>5-Day Reversal</w:t>
            </w:r>
          </w:p>
        </w:tc>
        <w:tc>
          <w:tcPr>
            <w:tcW w:type="dxa" w:w="1419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6"/>
              </w:rPr>
              <w:t>Low-Turnover Reversal</w:t>
            </w:r>
          </w:p>
        </w:tc>
        <w:tc>
          <w:tcPr>
            <w:tcW w:type="dxa" w:w="1419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6"/>
              </w:rPr>
              <w:t>OHLCV Baseline</w:t>
            </w:r>
          </w:p>
        </w:tc>
        <w:tc>
          <w:tcPr>
            <w:tcW w:type="dxa" w:w="1419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6"/>
              </w:rPr>
              <w:t>Full SignalForge Model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Information Coefficient (IC)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N/A (Constant)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-0.0013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0.0390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0.0190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-0.0016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0.0047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Newey-West t-statistic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N/A (Constant)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-0.1031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3.9381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1.7679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-0.2141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0.4488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Strategy Sharpe Ratio (Net)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+1.14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+1.00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+0.56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+0.72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+0.71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+1.11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DSR @ 41 trials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0.91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0.87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0.60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0.71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0.69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0.88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DSR @ 100 trials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0.89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0.84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0.54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0.67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0.64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0.86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DSR @ 200 trials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0.87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0.82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0.51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0.63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0.61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0.84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Max Drawdown (%)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-16.82%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-21.44%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-18.23%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-22.09%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-18.70%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sz w:val="16"/>
              </w:rPr>
              <w:t>-21.55%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Portfolio Turnover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1.24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0.59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1.24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6"/>
              </w:rPr>
              <w:t>0.53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E293B"/>
        </w:rPr>
        <w:t>3. Empirical Proof Tests &amp; Verification</w:t>
      </w:r>
    </w:p>
    <w:p>
      <w:pPr>
        <w:spacing w:after="120"/>
      </w:pPr>
      <w:r>
        <w:rPr>
          <w:b/>
          <w:color w:val="3B82F6"/>
        </w:rPr>
        <w:t xml:space="preserve">• Planted-Signal Recovery Test (test_planted_signal_recovery): </w:t>
      </w:r>
      <w:r>
        <w:rPr>
          <w:sz w:val="19"/>
        </w:rPr>
        <w:t>Injects a synthetic signal (IC ≈ +0.10) into features and verifies that the pipeline selects the feature in-fold and recovers a statistically significant out-of-sample IC (out-of-sample IC &gt; 0.01).</w:t>
      </w:r>
    </w:p>
    <w:p>
      <w:pPr>
        <w:spacing w:after="120"/>
      </w:pPr>
      <w:r>
        <w:rPr>
          <w:b/>
          <w:color w:val="3B82F6"/>
        </w:rPr>
        <w:t xml:space="preserve">• Null-Control Test (test_null_control_shuffled_labels): </w:t>
      </w:r>
      <w:r>
        <w:rPr>
          <w:sz w:val="19"/>
        </w:rPr>
        <w:t>Shuffles target labels randomly across date/symbol pairs and confirms out-of-sample IC evaluates near 0 (|IC| &lt; 0.05) with |t| &lt; 2.0.</w:t>
      </w:r>
    </w:p>
    <w:p>
      <w:pPr>
        <w:spacing w:after="120"/>
      </w:pPr>
      <w:r>
        <w:rPr>
          <w:b/>
          <w:color w:val="3B82F6"/>
        </w:rPr>
        <w:t xml:space="preserve">• Newey-West &amp; Circular Block Bootstrap (test_newey_west_standard_error_and_bootstrap_ci): </w:t>
      </w:r>
      <w:r>
        <w:rPr>
          <w:sz w:val="19"/>
        </w:rPr>
        <w:t>Validates Newey-West standard errors and 95% Circular Block Bootstrap CIs (L = 5 days) for autocorrelated target returns.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