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F5EFF"/>
          <w:sz w:val="26"/>
        </w:rPr>
        <w:t>SIH26155</w:t>
      </w:r>
    </w:p>
    <w:p>
      <w:pPr>
        <w:spacing w:after="160"/>
        <w:jc w:val="center"/>
      </w:pPr>
      <w:r>
        <w:rPr>
          <w:rFonts w:ascii="Aptos Display" w:hAnsi="Aptos Display"/>
          <w:b/>
          <w:color w:val="12233F"/>
          <w:sz w:val="54"/>
        </w:rPr>
        <w:t>AI-Driven Multi-Vendor Network Security Compliance Auditor</w:t>
      </w:r>
    </w:p>
    <w:p>
      <w:pPr>
        <w:spacing w:after="400"/>
        <w:jc w:val="center"/>
      </w:pPr>
      <w:r>
        <w:rPr>
          <w:rFonts w:ascii="Aptos" w:hAnsi="Aptos"/>
          <w:color w:val="6B7280"/>
          <w:sz w:val="24"/>
        </w:rPr>
        <w:t>Technical Requirements Document (TRD)</w:t>
      </w:r>
    </w:p>
    <w:tbl>
      <w:tblPr>
        <w:tblW w:type="auto" w:w="0"/>
        <w:jc w:val="center"/>
        <w:tblLayout w:type="fixed"/>
        <w:tblLook w:firstColumn="1" w:firstRow="1" w:lastColumn="0" w:lastRow="0" w:noHBand="0" w:noVBand="1" w:val="04A0"/>
      </w:tblPr>
      <w:tblGrid>
        <w:gridCol w:w="5112"/>
        <w:gridCol w:w="5112"/>
      </w:tblGrid>
      <w:tr>
        <w:tc>
          <w:tcPr>
            <w:tcW w:type="dxa" w:w="2448"/>
            <w:vAlign w:val="center"/>
            <w:tcMar>
              <w:top w:w="70" w:type="dxa"/>
              <w:start w:w="90" w:type="dxa"/>
              <w:bottom w:w="70" w:type="dxa"/>
              <w:end w:w="90" w:type="dxa"/>
            </w:tcMar>
            <w:shd w:fill="EAF2FF"/>
            <w:tcBorders>
              <w:top w:val="single" w:sz="5" w:color="D5DCE5"/>
              <w:left w:val="single" w:sz="5" w:color="D5DCE5"/>
              <w:bottom w:val="single" w:sz="5" w:color="D5DCE5"/>
              <w:right w:val="single" w:sz="5" w:color="D5DCE5"/>
            </w:tcBorders>
          </w:tcPr>
          <w:p>
            <w:pPr>
              <w:jc w:val="left"/>
            </w:pPr>
            <w:r>
              <w:rPr>
                <w:rFonts w:ascii="Aptos" w:hAnsi="Aptos"/>
                <w:b/>
                <w:color w:val="12233F"/>
                <w:sz w:val="18"/>
              </w:rPr>
              <w:t>Document</w:t>
            </w:r>
          </w:p>
        </w:tc>
        <w:tc>
          <w:tcPr>
            <w:tcW w:type="dxa" w:w="6768"/>
            <w:vAlign w:val="center"/>
            <w:tcMar>
              <w:top w:w="70" w:type="dxa"/>
              <w:start w:w="90" w:type="dxa"/>
              <w:bottom w:w="70" w:type="dxa"/>
              <w:end w:w="90" w:type="dxa"/>
            </w:tcMar>
            <w:shd w:fill="FFFFFF"/>
            <w:tcBorders>
              <w:top w:val="single" w:sz="5" w:color="D5DCE5"/>
              <w:left w:val="single" w:sz="5" w:color="D5DCE5"/>
              <w:bottom w:val="single" w:sz="5" w:color="D5DCE5"/>
              <w:right w:val="single" w:sz="5" w:color="D5DCE5"/>
            </w:tcBorders>
          </w:tcPr>
          <w:p>
            <w:pPr>
              <w:jc w:val="left"/>
            </w:pPr>
            <w:r>
              <w:rPr>
                <w:rFonts w:ascii="Aptos" w:hAnsi="Aptos"/>
                <w:sz w:val="18"/>
              </w:rPr>
              <w:t>TRD</w:t>
            </w:r>
          </w:p>
        </w:tc>
      </w:tr>
      <w:tr>
        <w:tc>
          <w:tcPr>
            <w:tcW w:type="dxa" w:w="2448"/>
            <w:vAlign w:val="center"/>
            <w:tcMar>
              <w:top w:w="70" w:type="dxa"/>
              <w:start w:w="90" w:type="dxa"/>
              <w:bottom w:w="70" w:type="dxa"/>
              <w:end w:w="90" w:type="dxa"/>
            </w:tcMar>
            <w:shd w:fill="EAF2FF"/>
            <w:tcBorders>
              <w:top w:val="single" w:sz="5" w:color="D5DCE5"/>
              <w:left w:val="single" w:sz="5" w:color="D5DCE5"/>
              <w:bottom w:val="single" w:sz="5" w:color="D5DCE5"/>
              <w:right w:val="single" w:sz="5" w:color="D5DCE5"/>
            </w:tcBorders>
          </w:tcPr>
          <w:p>
            <w:pPr>
              <w:jc w:val="left"/>
            </w:pPr>
            <w:r>
              <w:rPr>
                <w:rFonts w:ascii="Aptos" w:hAnsi="Aptos"/>
                <w:b/>
                <w:color w:val="12233F"/>
                <w:sz w:val="18"/>
              </w:rPr>
              <w:t>Version</w:t>
            </w:r>
          </w:p>
        </w:tc>
        <w:tc>
          <w:tcPr>
            <w:tcW w:type="dxa" w:w="6768"/>
            <w:vAlign w:val="center"/>
            <w:tcMar>
              <w:top w:w="70" w:type="dxa"/>
              <w:start w:w="90" w:type="dxa"/>
              <w:bottom w:w="70" w:type="dxa"/>
              <w:end w:w="90" w:type="dxa"/>
            </w:tcMar>
            <w:shd w:fill="FFFFFF"/>
            <w:tcBorders>
              <w:top w:val="single" w:sz="5" w:color="D5DCE5"/>
              <w:left w:val="single" w:sz="5" w:color="D5DCE5"/>
              <w:bottom w:val="single" w:sz="5" w:color="D5DCE5"/>
              <w:right w:val="single" w:sz="5" w:color="D5DCE5"/>
            </w:tcBorders>
          </w:tcPr>
          <w:p>
            <w:pPr>
              <w:jc w:val="left"/>
            </w:pPr>
            <w:r>
              <w:rPr>
                <w:rFonts w:ascii="Aptos" w:hAnsi="Aptos"/>
                <w:sz w:val="18"/>
              </w:rPr>
              <w:t>1.0 — Hackathon MVP</w:t>
            </w:r>
          </w:p>
        </w:tc>
      </w:tr>
      <w:tr>
        <w:tc>
          <w:tcPr>
            <w:tcW w:type="dxa" w:w="2448"/>
            <w:vAlign w:val="center"/>
            <w:tcMar>
              <w:top w:w="70" w:type="dxa"/>
              <w:start w:w="90" w:type="dxa"/>
              <w:bottom w:w="70" w:type="dxa"/>
              <w:end w:w="90" w:type="dxa"/>
            </w:tcMar>
            <w:shd w:fill="EAF2FF"/>
            <w:tcBorders>
              <w:top w:val="single" w:sz="5" w:color="D5DCE5"/>
              <w:left w:val="single" w:sz="5" w:color="D5DCE5"/>
              <w:bottom w:val="single" w:sz="5" w:color="D5DCE5"/>
              <w:right w:val="single" w:sz="5" w:color="D5DCE5"/>
            </w:tcBorders>
          </w:tcPr>
          <w:p>
            <w:pPr>
              <w:jc w:val="left"/>
            </w:pPr>
            <w:r>
              <w:rPr>
                <w:rFonts w:ascii="Aptos" w:hAnsi="Aptos"/>
                <w:b/>
                <w:color w:val="12233F"/>
                <w:sz w:val="18"/>
              </w:rPr>
              <w:t>Deployment model</w:t>
            </w:r>
          </w:p>
        </w:tc>
        <w:tc>
          <w:tcPr>
            <w:tcW w:type="dxa" w:w="6768"/>
            <w:vAlign w:val="center"/>
            <w:tcMar>
              <w:top w:w="70" w:type="dxa"/>
              <w:start w:w="90" w:type="dxa"/>
              <w:bottom w:w="70" w:type="dxa"/>
              <w:end w:w="90" w:type="dxa"/>
            </w:tcMar>
            <w:shd w:fill="FFFFFF"/>
            <w:tcBorders>
              <w:top w:val="single" w:sz="5" w:color="D5DCE5"/>
              <w:left w:val="single" w:sz="5" w:color="D5DCE5"/>
              <w:bottom w:val="single" w:sz="5" w:color="D5DCE5"/>
              <w:right w:val="single" w:sz="5" w:color="D5DCE5"/>
            </w:tcBorders>
          </w:tcPr>
          <w:p>
            <w:pPr>
              <w:jc w:val="left"/>
            </w:pPr>
            <w:r>
              <w:rPr>
                <w:rFonts w:ascii="Aptos" w:hAnsi="Aptos"/>
                <w:sz w:val="18"/>
              </w:rPr>
              <w:t>Offline-first, local analysis</w:t>
            </w:r>
          </w:p>
        </w:tc>
      </w:tr>
      <w:tr>
        <w:tc>
          <w:tcPr>
            <w:tcW w:type="dxa" w:w="2448"/>
            <w:vAlign w:val="center"/>
            <w:tcMar>
              <w:top w:w="70" w:type="dxa"/>
              <w:start w:w="90" w:type="dxa"/>
              <w:bottom w:w="70" w:type="dxa"/>
              <w:end w:w="90" w:type="dxa"/>
            </w:tcMar>
            <w:shd w:fill="EAF2FF"/>
            <w:tcBorders>
              <w:top w:val="single" w:sz="5" w:color="D5DCE5"/>
              <w:left w:val="single" w:sz="5" w:color="D5DCE5"/>
              <w:bottom w:val="single" w:sz="5" w:color="D5DCE5"/>
              <w:right w:val="single" w:sz="5" w:color="D5DCE5"/>
            </w:tcBorders>
          </w:tcPr>
          <w:p>
            <w:pPr>
              <w:jc w:val="left"/>
            </w:pPr>
            <w:r>
              <w:rPr>
                <w:rFonts w:ascii="Aptos" w:hAnsi="Aptos"/>
                <w:b/>
                <w:color w:val="12233F"/>
                <w:sz w:val="18"/>
              </w:rPr>
              <w:t>Cost model</w:t>
            </w:r>
          </w:p>
        </w:tc>
        <w:tc>
          <w:tcPr>
            <w:tcW w:type="dxa" w:w="6768"/>
            <w:vAlign w:val="center"/>
            <w:tcMar>
              <w:top w:w="70" w:type="dxa"/>
              <w:start w:w="90" w:type="dxa"/>
              <w:bottom w:w="70" w:type="dxa"/>
              <w:end w:w="90" w:type="dxa"/>
            </w:tcMar>
            <w:shd w:fill="FFFFFF"/>
            <w:tcBorders>
              <w:top w:val="single" w:sz="5" w:color="D5DCE5"/>
              <w:left w:val="single" w:sz="5" w:color="D5DCE5"/>
              <w:bottom w:val="single" w:sz="5" w:color="D5DCE5"/>
              <w:right w:val="single" w:sz="5" w:color="D5DCE5"/>
            </w:tcBorders>
          </w:tcPr>
          <w:p>
            <w:pPr>
              <w:jc w:val="left"/>
            </w:pPr>
            <w:r>
              <w:rPr>
                <w:rFonts w:ascii="Aptos" w:hAnsi="Aptos"/>
                <w:sz w:val="18"/>
              </w:rPr>
              <w:t>100% free/open-source software stack</w:t>
            </w:r>
          </w:p>
        </w:tc>
      </w:tr>
    </w:tbl>
    <w:p/>
    <w:p>
      <w:pPr>
        <w:jc w:val="center"/>
      </w:pPr>
      <w:r>
        <w:rPr>
          <w:rFonts w:ascii="Aptos" w:hAnsi="Aptos"/>
          <w:b/>
          <w:color w:val="1F2937"/>
          <w:sz w:val="19"/>
        </w:rPr>
        <w:t>Design principle: deterministic verification first, bounded local AI second, human approval before learning or change.</w:t>
      </w:r>
    </w:p>
    <w:p>
      <w:r>
        <w:br w:type="page"/>
      </w:r>
    </w:p>
    <w:p>
      <w:pPr>
        <w:pStyle w:val="Heading1"/>
      </w:pPr>
      <w:r>
        <w:t>1. Technical Vision</w:t>
      </w:r>
    </w:p>
    <w:p>
      <w:r>
        <w:t>The implementation should be a small, modular, offline-first system where deterministic parsing and compliance rules are authoritative, while local ML is used only for bounded interpretation of unfamiliar syntax. The architecture must make evidence, confidence, provenance and human approval first-class data.</w:t>
      </w:r>
    </w:p>
    <w:tbl>
      <w:tblPr>
        <w:tblW w:type="auto" w:w="0"/>
        <w:jc w:val="center"/>
        <w:tblLook w:firstColumn="1" w:firstRow="1" w:lastColumn="0" w:lastRow="0" w:noHBand="0" w:noVBand="1" w:val="04A0"/>
      </w:tblPr>
      <w:tblGrid>
        <w:gridCol w:w="10224"/>
      </w:tblGrid>
      <w:tr>
        <w:tc>
          <w:tcPr>
            <w:tcW w:type="dxa" w:w="10224"/>
            <w:shd w:fill="EAF2FF"/>
            <w:tcMar>
              <w:top w:w="100" w:type="dxa"/>
              <w:start w:w="120" w:type="dxa"/>
              <w:bottom w:w="100" w:type="dxa"/>
              <w:end w:w="120" w:type="dxa"/>
            </w:tcMar>
            <w:tcBorders>
              <w:top w:val="single" w:sz="7" w:color="1F5EFF"/>
              <w:left w:val="single" w:sz="7" w:color="1F5EFF"/>
              <w:bottom w:val="single" w:sz="7" w:color="1F5EFF"/>
              <w:right w:val="single" w:sz="7" w:color="1F5EFF"/>
            </w:tcBorders>
          </w:tcPr>
          <w:p>
            <w:r>
              <w:rPr>
                <w:rFonts w:ascii="Aptos" w:hAnsi="Aptos"/>
                <w:b/>
                <w:color w:val="12233F"/>
              </w:rPr>
              <w:t xml:space="preserve">Architecture rule  </w:t>
            </w:r>
            <w:r>
              <w:rPr>
                <w:rFonts w:ascii="Aptos" w:hAnsi="Aptos"/>
                <w:sz w:val="18"/>
              </w:rPr>
              <w:t>Never let a probabilistic component silently override deterministic evidence. Unknown or contradictory cases must fail closed into INCONCLUSIVE or human review.</w:t>
            </w:r>
          </w:p>
        </w:tc>
      </w:tr>
    </w:tbl>
    <w:p>
      <w:pPr>
        <w:spacing w:after="0"/>
      </w:pPr>
    </w:p>
    <w:p>
      <w:pPr>
        <w:pStyle w:val="Heading1"/>
      </w:pPr>
      <w:r>
        <w:t>2. Technology Stack</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944"/>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Layer</w:t>
            </w:r>
          </w:p>
        </w:tc>
        <w:tc>
          <w:tcPr>
            <w:tcW w:type="dxa" w:w="3240"/>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Technology</w:t>
            </w:r>
          </w:p>
        </w:tc>
        <w:tc>
          <w:tcPr>
            <w:tcW w:type="dxa" w:w="3888"/>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Reason</w:t>
            </w:r>
          </w:p>
        </w:tc>
      </w:tr>
      <w:tr>
        <w:tc>
          <w:tcPr>
            <w:tcW w:type="dxa" w:w="1944"/>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Frontend</w:t>
            </w:r>
          </w:p>
        </w:tc>
        <w:tc>
          <w:tcPr>
            <w:tcW w:type="dxa" w:w="324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React + Tailwind CSS</w:t>
            </w:r>
          </w:p>
        </w:tc>
        <w:tc>
          <w:tcPr>
            <w:tcW w:type="dxa" w:w="3888"/>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Fast UI development, component reuse, clean dashboard</w:t>
            </w:r>
          </w:p>
        </w:tc>
      </w:tr>
      <w:tr>
        <w:tc>
          <w:tcPr>
            <w:tcW w:type="dxa" w:w="1944"/>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API</w:t>
            </w:r>
          </w:p>
        </w:tc>
        <w:tc>
          <w:tcPr>
            <w:tcW w:type="dxa" w:w="3240"/>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FastAPI + Pydantic</w:t>
            </w:r>
          </w:p>
        </w:tc>
        <w:tc>
          <w:tcPr>
            <w:tcW w:type="dxa" w:w="3888"/>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Typed Python API, lightweight and easy to test</w:t>
            </w:r>
          </w:p>
        </w:tc>
      </w:tr>
      <w:tr>
        <w:tc>
          <w:tcPr>
            <w:tcW w:type="dxa" w:w="1944"/>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Parser engine</w:t>
            </w:r>
          </w:p>
        </w:tc>
        <w:tc>
          <w:tcPr>
            <w:tcW w:type="dxa" w:w="324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Python</w:t>
            </w:r>
          </w:p>
        </w:tc>
        <w:tc>
          <w:tcPr>
            <w:tcW w:type="dxa" w:w="3888"/>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Rules, regex, state machines and vendor adapters</w:t>
            </w:r>
          </w:p>
        </w:tc>
      </w:tr>
      <w:tr>
        <w:tc>
          <w:tcPr>
            <w:tcW w:type="dxa" w:w="1944"/>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Local ML</w:t>
            </w:r>
          </w:p>
        </w:tc>
        <w:tc>
          <w:tcPr>
            <w:tcW w:type="dxa" w:w="3240"/>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scikit-learn</w:t>
            </w:r>
          </w:p>
        </w:tc>
        <w:tc>
          <w:tcPr>
            <w:tcW w:type="dxa" w:w="3888"/>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Fully free, offline, lightweight, deterministic inference path</w:t>
            </w:r>
          </w:p>
        </w:tc>
      </w:tr>
      <w:tr>
        <w:tc>
          <w:tcPr>
            <w:tcW w:type="dxa" w:w="1944"/>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NLP intent compiler</w:t>
            </w:r>
          </w:p>
        </w:tc>
        <w:tc>
          <w:tcPr>
            <w:tcW w:type="dxa" w:w="324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Python rule/slot compiler + optional local classifier</w:t>
            </w:r>
          </w:p>
        </w:tc>
        <w:tc>
          <w:tcPr>
            <w:tcW w:type="dxa" w:w="3888"/>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No paid LLM dependency; bounded and testable</w:t>
            </w:r>
          </w:p>
        </w:tc>
      </w:tr>
      <w:tr>
        <w:tc>
          <w:tcPr>
            <w:tcW w:type="dxa" w:w="1944"/>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Database</w:t>
            </w:r>
          </w:p>
        </w:tc>
        <w:tc>
          <w:tcPr>
            <w:tcW w:type="dxa" w:w="3240"/>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SQLite</w:t>
            </w:r>
          </w:p>
        </w:tc>
        <w:tc>
          <w:tcPr>
            <w:tcW w:type="dxa" w:w="3888"/>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Zero-cost, embedded, portable, offline</w:t>
            </w:r>
          </w:p>
        </w:tc>
      </w:tr>
      <w:tr>
        <w:tc>
          <w:tcPr>
            <w:tcW w:type="dxa" w:w="1944"/>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Graph UI</w:t>
            </w:r>
          </w:p>
        </w:tc>
        <w:tc>
          <w:tcPr>
            <w:tcW w:type="dxa" w:w="324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React Flow or Cytoscape.js</w:t>
            </w:r>
          </w:p>
        </w:tc>
        <w:tc>
          <w:tcPr>
            <w:tcW w:type="dxa" w:w="3888"/>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Visualize equivalence relationships and security state</w:t>
            </w:r>
          </w:p>
        </w:tc>
      </w:tr>
      <w:tr>
        <w:tc>
          <w:tcPr>
            <w:tcW w:type="dxa" w:w="1944"/>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Reporting</w:t>
            </w:r>
          </w:p>
        </w:tc>
        <w:tc>
          <w:tcPr>
            <w:tcW w:type="dxa" w:w="3240"/>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ReportLab + HTML templates</w:t>
            </w:r>
          </w:p>
        </w:tc>
        <w:tc>
          <w:tcPr>
            <w:tcW w:type="dxa" w:w="3888"/>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Local PDF and web reports</w:t>
            </w:r>
          </w:p>
        </w:tc>
      </w:tr>
      <w:tr>
        <w:tc>
          <w:tcPr>
            <w:tcW w:type="dxa" w:w="1944"/>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Testing</w:t>
            </w:r>
          </w:p>
        </w:tc>
        <w:tc>
          <w:tcPr>
            <w:tcW w:type="dxa" w:w="324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pytest</w:t>
            </w:r>
          </w:p>
        </w:tc>
        <w:tc>
          <w:tcPr>
            <w:tcW w:type="dxa" w:w="3888"/>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Simple automated test suite</w:t>
            </w:r>
          </w:p>
        </w:tc>
      </w:tr>
      <w:tr>
        <w:tc>
          <w:tcPr>
            <w:tcW w:type="dxa" w:w="1944"/>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Packaging</w:t>
            </w:r>
          </w:p>
        </w:tc>
        <w:tc>
          <w:tcPr>
            <w:tcW w:type="dxa" w:w="3240"/>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venv + npm</w:t>
            </w:r>
          </w:p>
        </w:tc>
        <w:tc>
          <w:tcPr>
            <w:tcW w:type="dxa" w:w="3888"/>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No paid build/deployment dependency</w:t>
            </w:r>
          </w:p>
        </w:tc>
      </w:tr>
    </w:tbl>
    <w:p>
      <w:pPr>
        <w:spacing w:after="0"/>
      </w:pPr>
    </w:p>
    <w:p>
      <w:r>
        <w:t>Optional libraries such as Netmiko/NAPALM can support device integration later, but the hackathon MVP should operate from uploaded configuration files so the demo does not depend on live network access or special hardware.</w:t>
      </w:r>
    </w:p>
    <w:p>
      <w:pPr>
        <w:pStyle w:val="Heading1"/>
      </w:pPr>
      <w:r>
        <w:t>3. High-Level Architecture</w:t>
      </w:r>
    </w:p>
    <w:p>
      <w:pPr>
        <w:pStyle w:val="CodeBlock"/>
        <w:keepLines/>
      </w:pPr>
      <w:r>
        <w:rPr>
          <w:rFonts w:ascii="Consolas" w:hAnsi="Consolas"/>
          <w:sz w:val="16"/>
        </w:rPr>
        <w:t>React UI</w:t>
        <w:br/>
      </w:r>
      <w:r>
        <w:rPr>
          <w:rFonts w:ascii="Consolas" w:hAnsi="Consolas"/>
          <w:sz w:val="16"/>
        </w:rPr>
        <w:t xml:space="preserve">  │</w:t>
        <w:br/>
      </w:r>
      <w:r>
        <w:rPr>
          <w:rFonts w:ascii="Consolas" w:hAnsi="Consolas"/>
          <w:sz w:val="16"/>
        </w:rPr>
        <w:t xml:space="preserve">  ├── Dashboard / Findings / Review / Intent / Graph / Simulation / Reports</w:t>
        <w:br/>
      </w:r>
      <w:r>
        <w:rPr>
          <w:rFonts w:ascii="Consolas" w:hAnsi="Consolas"/>
          <w:sz w:val="16"/>
        </w:rPr>
        <w:t xml:space="preserve">  │</w:t>
        <w:br/>
      </w:r>
      <w:r>
        <w:rPr>
          <w:rFonts w:ascii="Consolas" w:hAnsi="Consolas"/>
          <w:sz w:val="16"/>
        </w:rPr>
        <w:t>FastAPI Backend</w:t>
        <w:br/>
      </w:r>
      <w:r>
        <w:rPr>
          <w:rFonts w:ascii="Consolas" w:hAnsi="Consolas"/>
          <w:sz w:val="16"/>
        </w:rPr>
        <w:t xml:space="preserve">  │</w:t>
        <w:br/>
      </w:r>
      <w:r>
        <w:rPr>
          <w:rFonts w:ascii="Consolas" w:hAnsi="Consolas"/>
          <w:sz w:val="16"/>
        </w:rPr>
        <w:t xml:space="preserve">  ├── Ingestion Service</w:t>
        <w:br/>
      </w:r>
      <w:r>
        <w:rPr>
          <w:rFonts w:ascii="Consolas" w:hAnsi="Consolas"/>
          <w:sz w:val="16"/>
        </w:rPr>
        <w:t xml:space="preserve">  ├── Vendor Detector</w:t>
        <w:br/>
      </w:r>
      <w:r>
        <w:rPr>
          <w:rFonts w:ascii="Consolas" w:hAnsi="Consolas"/>
          <w:sz w:val="16"/>
        </w:rPr>
        <w:t xml:space="preserve">  ├── Parser Engine</w:t>
        <w:br/>
      </w:r>
      <w:r>
        <w:rPr>
          <w:rFonts w:ascii="Consolas" w:hAnsi="Consolas"/>
          <w:sz w:val="16"/>
        </w:rPr>
        <w:t xml:space="preserve">  ├── Security Model Builder</w:t>
        <w:br/>
      </w:r>
      <w:r>
        <w:rPr>
          <w:rFonts w:ascii="Consolas" w:hAnsi="Consolas"/>
          <w:sz w:val="16"/>
        </w:rPr>
        <w:t xml:space="preserve">  ├── Control &amp; Policy Engine</w:t>
        <w:br/>
      </w:r>
      <w:r>
        <w:rPr>
          <w:rFonts w:ascii="Consolas" w:hAnsi="Consolas"/>
          <w:sz w:val="16"/>
        </w:rPr>
        <w:t xml:space="preserve">  ├── Local ML Interpretation Engine</w:t>
        <w:br/>
      </w:r>
      <w:r>
        <w:rPr>
          <w:rFonts w:ascii="Consolas" w:hAnsi="Consolas"/>
          <w:sz w:val="16"/>
        </w:rPr>
        <w:t xml:space="preserve">  ├── Knowledge Registry</w:t>
        <w:br/>
      </w:r>
      <w:r>
        <w:rPr>
          <w:rFonts w:ascii="Consolas" w:hAnsi="Consolas"/>
          <w:sz w:val="16"/>
        </w:rPr>
        <w:t xml:space="preserve">  ├── Equivalence + Semantic Diff Engine</w:t>
        <w:br/>
      </w:r>
      <w:r>
        <w:rPr>
          <w:rFonts w:ascii="Consolas" w:hAnsi="Consolas"/>
          <w:sz w:val="16"/>
        </w:rPr>
        <w:t xml:space="preserve">  ├── Counterfactual Simulator</w:t>
        <w:br/>
      </w:r>
      <w:r>
        <w:rPr>
          <w:rFonts w:ascii="Consolas" w:hAnsi="Consolas"/>
          <w:sz w:val="16"/>
        </w:rPr>
        <w:t xml:space="preserve">  └── Report Service</w:t>
        <w:br/>
      </w:r>
      <w:r>
        <w:rPr>
          <w:rFonts w:ascii="Consolas" w:hAnsi="Consolas"/>
          <w:sz w:val="16"/>
        </w:rPr>
        <w:t xml:space="preserve">  │</w:t>
        <w:br/>
      </w:r>
      <w:r>
        <w:rPr>
          <w:rFonts w:ascii="Consolas" w:hAnsi="Consolas"/>
          <w:sz w:val="16"/>
        </w:rPr>
        <w:t>SQLite + Local Files</w:t>
        <w:br/>
      </w:r>
      <w:r>
        <w:rPr>
          <w:rFonts w:ascii="Consolas" w:hAnsi="Consolas"/>
          <w:sz w:val="16"/>
        </w:rPr>
        <w:t xml:space="preserve">  ├── Config metadata / hashes</w:t>
        <w:br/>
      </w:r>
      <w:r>
        <w:rPr>
          <w:rFonts w:ascii="Consolas" w:hAnsi="Consolas"/>
          <w:sz w:val="16"/>
        </w:rPr>
        <w:t xml:space="preserve">  ├── Control definitions</w:t>
        <w:br/>
      </w:r>
      <w:r>
        <w:rPr>
          <w:rFonts w:ascii="Consolas" w:hAnsi="Consolas"/>
          <w:sz w:val="16"/>
        </w:rPr>
        <w:t xml:space="preserve">  ├── ML training examples</w:t>
        <w:br/>
      </w:r>
      <w:r>
        <w:rPr>
          <w:rFonts w:ascii="Consolas" w:hAnsi="Consolas"/>
          <w:sz w:val="16"/>
        </w:rPr>
        <w:t xml:space="preserve">  ├── Approved mappings</w:t>
        <w:br/>
      </w:r>
      <w:r>
        <w:rPr>
          <w:rFonts w:ascii="Consolas" w:hAnsi="Consolas"/>
          <w:sz w:val="16"/>
        </w:rPr>
        <w:t xml:space="preserve">  └── Audit history</w:t>
        <w:br/>
      </w:r>
    </w:p>
    <w:p>
      <w:pPr>
        <w:pStyle w:val="Heading1"/>
      </w:pPr>
      <w:r>
        <w:t>4. Simple Project Structure</w:t>
      </w:r>
    </w:p>
    <w:p>
      <w:pPr>
        <w:pStyle w:val="CodeBlock"/>
        <w:keepLines/>
      </w:pPr>
      <w:r>
        <w:rPr>
          <w:rFonts w:ascii="Consolas" w:hAnsi="Consolas"/>
          <w:sz w:val="16"/>
        </w:rPr>
        <w:t>sih26155/</w:t>
        <w:br/>
      </w:r>
      <w:r>
        <w:rPr>
          <w:rFonts w:ascii="Consolas" w:hAnsi="Consolas"/>
          <w:sz w:val="16"/>
        </w:rPr>
        <w:t>├── frontend/</w:t>
        <w:br/>
      </w:r>
      <w:r>
        <w:rPr>
          <w:rFonts w:ascii="Consolas" w:hAnsi="Consolas"/>
          <w:sz w:val="16"/>
        </w:rPr>
        <w:t>│   ├── src/</w:t>
        <w:br/>
      </w:r>
      <w:r>
        <w:rPr>
          <w:rFonts w:ascii="Consolas" w:hAnsi="Consolas"/>
          <w:sz w:val="16"/>
        </w:rPr>
        <w:t>│   │   ├── components/</w:t>
        <w:br/>
      </w:r>
      <w:r>
        <w:rPr>
          <w:rFonts w:ascii="Consolas" w:hAnsi="Consolas"/>
          <w:sz w:val="16"/>
        </w:rPr>
        <w:t>│   │   ├── pages/</w:t>
        <w:br/>
      </w:r>
      <w:r>
        <w:rPr>
          <w:rFonts w:ascii="Consolas" w:hAnsi="Consolas"/>
          <w:sz w:val="16"/>
        </w:rPr>
        <w:t>│   │   ├── services/</w:t>
        <w:br/>
      </w:r>
      <w:r>
        <w:rPr>
          <w:rFonts w:ascii="Consolas" w:hAnsi="Consolas"/>
          <w:sz w:val="16"/>
        </w:rPr>
        <w:t>│   │   └── App.jsx</w:t>
        <w:br/>
      </w:r>
      <w:r>
        <w:rPr>
          <w:rFonts w:ascii="Consolas" w:hAnsi="Consolas"/>
          <w:sz w:val="16"/>
        </w:rPr>
        <w:t>│   └── package.json</w:t>
        <w:br/>
      </w:r>
      <w:r>
        <w:rPr>
          <w:rFonts w:ascii="Consolas" w:hAnsi="Consolas"/>
          <w:sz w:val="16"/>
        </w:rPr>
        <w:t>├── backend/</w:t>
        <w:br/>
      </w:r>
      <w:r>
        <w:rPr>
          <w:rFonts w:ascii="Consolas" w:hAnsi="Consolas"/>
          <w:sz w:val="16"/>
        </w:rPr>
        <w:t>│   ├── main.py</w:t>
        <w:br/>
      </w:r>
      <w:r>
        <w:rPr>
          <w:rFonts w:ascii="Consolas" w:hAnsi="Consolas"/>
          <w:sz w:val="16"/>
        </w:rPr>
        <w:t>│   ├── parser.py</w:t>
        <w:br/>
      </w:r>
      <w:r>
        <w:rPr>
          <w:rFonts w:ascii="Consolas" w:hAnsi="Consolas"/>
          <w:sz w:val="16"/>
        </w:rPr>
        <w:t>│   ├── compliance.py</w:t>
        <w:br/>
      </w:r>
      <w:r>
        <w:rPr>
          <w:rFonts w:ascii="Consolas" w:hAnsi="Consolas"/>
          <w:sz w:val="16"/>
        </w:rPr>
        <w:t>│   ├── ai.py</w:t>
        <w:br/>
      </w:r>
      <w:r>
        <w:rPr>
          <w:rFonts w:ascii="Consolas" w:hAnsi="Consolas"/>
          <w:sz w:val="16"/>
        </w:rPr>
        <w:t>│   ├── security.py</w:t>
        <w:br/>
      </w:r>
      <w:r>
        <w:rPr>
          <w:rFonts w:ascii="Consolas" w:hAnsi="Consolas"/>
          <w:sz w:val="16"/>
        </w:rPr>
        <w:t>│   ├── actions.py</w:t>
        <w:br/>
      </w:r>
      <w:r>
        <w:rPr>
          <w:rFonts w:ascii="Consolas" w:hAnsi="Consolas"/>
          <w:sz w:val="16"/>
        </w:rPr>
        <w:t>│   ├── report.py</w:t>
        <w:br/>
      </w:r>
      <w:r>
        <w:rPr>
          <w:rFonts w:ascii="Consolas" w:hAnsi="Consolas"/>
          <w:sz w:val="16"/>
        </w:rPr>
        <w:t>│   └── database.py</w:t>
        <w:br/>
      </w:r>
      <w:r>
        <w:rPr>
          <w:rFonts w:ascii="Consolas" w:hAnsi="Consolas"/>
          <w:sz w:val="16"/>
        </w:rPr>
        <w:t>├── data/</w:t>
        <w:br/>
      </w:r>
      <w:r>
        <w:rPr>
          <w:rFonts w:ascii="Consolas" w:hAnsi="Consolas"/>
          <w:sz w:val="16"/>
        </w:rPr>
        <w:t>│   ├── configs/</w:t>
        <w:br/>
      </w:r>
      <w:r>
        <w:rPr>
          <w:rFonts w:ascii="Consolas" w:hAnsi="Consolas"/>
          <w:sz w:val="16"/>
        </w:rPr>
        <w:t>│   ├── controls.json</w:t>
        <w:br/>
      </w:r>
      <w:r>
        <w:rPr>
          <w:rFonts w:ascii="Consolas" w:hAnsi="Consolas"/>
          <w:sz w:val="16"/>
        </w:rPr>
        <w:t>│   ├── mappings.json</w:t>
        <w:br/>
      </w:r>
      <w:r>
        <w:rPr>
          <w:rFonts w:ascii="Consolas" w:hAnsi="Consolas"/>
          <w:sz w:val="16"/>
        </w:rPr>
        <w:t>│   └── training/</w:t>
        <w:br/>
      </w:r>
      <w:r>
        <w:rPr>
          <w:rFonts w:ascii="Consolas" w:hAnsi="Consolas"/>
          <w:sz w:val="16"/>
        </w:rPr>
        <w:t>├── tests/</w:t>
        <w:br/>
      </w:r>
      <w:r>
        <w:rPr>
          <w:rFonts w:ascii="Consolas" w:hAnsi="Consolas"/>
          <w:sz w:val="16"/>
        </w:rPr>
        <w:t>└── README.md</w:t>
        <w:br/>
      </w:r>
    </w:p>
    <w:p>
      <w:r>
        <w:t>Keep the repository intentionally small. Do not create separate microservices or dozens of folders for the hackathon MVP.</w:t>
      </w:r>
    </w:p>
    <w:p>
      <w:pPr>
        <w:pStyle w:val="Heading1"/>
      </w:pPr>
      <w:r>
        <w:t>5. Processing Pipeline</w:t>
      </w:r>
    </w:p>
    <w:p>
      <w:pPr>
        <w:spacing w:after="50"/>
        <w:ind w:left="403" w:hanging="288"/>
      </w:pPr>
      <w:r>
        <w:rPr>
          <w:rFonts w:ascii="Aptos" w:hAnsi="Aptos"/>
          <w:b/>
        </w:rPr>
        <w:t xml:space="preserve">1.  </w:t>
      </w:r>
      <w:r>
        <w:rPr>
          <w:rFonts w:ascii="Aptos" w:hAnsi="Aptos"/>
        </w:rPr>
        <w:t>Validate upload: file type, size, encoding, line count and safe path handling.</w:t>
      </w:r>
    </w:p>
    <w:p>
      <w:pPr>
        <w:spacing w:after="50"/>
        <w:ind w:left="403" w:hanging="288"/>
      </w:pPr>
      <w:r>
        <w:rPr>
          <w:rFonts w:ascii="Aptos" w:hAnsi="Aptos"/>
          <w:b/>
        </w:rPr>
        <w:t xml:space="preserve">2.  </w:t>
      </w:r>
      <w:r>
        <w:rPr>
          <w:rFonts w:ascii="Aptos" w:hAnsi="Aptos"/>
        </w:rPr>
        <w:t>Hash input: compute SHA-256 for audit reproducibility without modifying the source.</w:t>
      </w:r>
    </w:p>
    <w:p>
      <w:pPr>
        <w:spacing w:after="50"/>
        <w:ind w:left="403" w:hanging="288"/>
      </w:pPr>
      <w:r>
        <w:rPr>
          <w:rFonts w:ascii="Aptos" w:hAnsi="Aptos"/>
          <w:b/>
        </w:rPr>
        <w:t xml:space="preserve">3.  </w:t>
      </w:r>
      <w:r>
        <w:rPr>
          <w:rFonts w:ascii="Aptos" w:hAnsi="Aptos"/>
        </w:rPr>
        <w:t>Detect vendor/platform using deterministic signatures and a confidence score.</w:t>
      </w:r>
    </w:p>
    <w:p>
      <w:pPr>
        <w:spacing w:after="50"/>
        <w:ind w:left="403" w:hanging="288"/>
      </w:pPr>
      <w:r>
        <w:rPr>
          <w:rFonts w:ascii="Aptos" w:hAnsi="Aptos"/>
          <w:b/>
        </w:rPr>
        <w:t xml:space="preserve">4.  </w:t>
      </w:r>
      <w:r>
        <w:rPr>
          <w:rFonts w:ascii="Aptos" w:hAnsi="Aptos"/>
        </w:rPr>
        <w:t>Parse known syntax into normalized security properties with line-level evidence.</w:t>
      </w:r>
    </w:p>
    <w:p>
      <w:pPr>
        <w:spacing w:after="50"/>
        <w:ind w:left="403" w:hanging="288"/>
      </w:pPr>
      <w:r>
        <w:rPr>
          <w:rFonts w:ascii="Aptos" w:hAnsi="Aptos"/>
          <w:b/>
        </w:rPr>
        <w:t xml:space="preserve">5.  </w:t>
      </w:r>
      <w:r>
        <w:rPr>
          <w:rFonts w:ascii="Aptos" w:hAnsi="Aptos"/>
        </w:rPr>
        <w:t>Detect parser misses and candidate unknown fragments.</w:t>
      </w:r>
    </w:p>
    <w:p>
      <w:pPr>
        <w:spacing w:after="50"/>
        <w:ind w:left="403" w:hanging="288"/>
      </w:pPr>
      <w:r>
        <w:rPr>
          <w:rFonts w:ascii="Aptos" w:hAnsi="Aptos"/>
          <w:b/>
        </w:rPr>
        <w:t xml:space="preserve">6.  </w:t>
      </w:r>
      <w:r>
        <w:rPr>
          <w:rFonts w:ascii="Aptos" w:hAnsi="Aptos"/>
        </w:rPr>
        <w:t>Run local ML only on eligible security-relevant unknown fragments.</w:t>
      </w:r>
    </w:p>
    <w:p>
      <w:pPr>
        <w:spacing w:after="50"/>
        <w:ind w:left="403" w:hanging="288"/>
      </w:pPr>
      <w:r>
        <w:rPr>
          <w:rFonts w:ascii="Aptos" w:hAnsi="Aptos"/>
          <w:b/>
        </w:rPr>
        <w:t xml:space="preserve">7.  </w:t>
      </w:r>
      <w:r>
        <w:rPr>
          <w:rFonts w:ascii="Aptos" w:hAnsi="Aptos"/>
        </w:rPr>
        <w:t>Apply confidence threshold; route uncertain predictions to human review.</w:t>
      </w:r>
    </w:p>
    <w:p>
      <w:pPr>
        <w:spacing w:after="50"/>
        <w:ind w:left="403" w:hanging="288"/>
      </w:pPr>
      <w:r>
        <w:rPr>
          <w:rFonts w:ascii="Aptos" w:hAnsi="Aptos"/>
          <w:b/>
        </w:rPr>
        <w:t xml:space="preserve">8.  </w:t>
      </w:r>
      <w:r>
        <w:rPr>
          <w:rFonts w:ascii="Aptos" w:hAnsi="Aptos"/>
        </w:rPr>
        <w:t>Build the vendor-neutral security state.</w:t>
      </w:r>
    </w:p>
    <w:p>
      <w:pPr>
        <w:spacing w:after="50"/>
        <w:ind w:left="403" w:hanging="288"/>
      </w:pPr>
      <w:r>
        <w:rPr>
          <w:rFonts w:ascii="Aptos" w:hAnsi="Aptos"/>
          <w:b/>
        </w:rPr>
        <w:t xml:space="preserve">9.  </w:t>
      </w:r>
      <w:r>
        <w:rPr>
          <w:rFonts w:ascii="Aptos" w:hAnsi="Aptos"/>
        </w:rPr>
        <w:t>Compile any natural-language security intent into bounded policy predicates.</w:t>
      </w:r>
    </w:p>
    <w:p>
      <w:pPr>
        <w:spacing w:after="50"/>
        <w:ind w:left="403" w:hanging="288"/>
      </w:pPr>
      <w:r>
        <w:rPr>
          <w:rFonts w:ascii="Aptos" w:hAnsi="Aptos"/>
          <w:b/>
        </w:rPr>
        <w:t xml:space="preserve">10.  </w:t>
      </w:r>
      <w:r>
        <w:rPr>
          <w:rFonts w:ascii="Aptos" w:hAnsi="Aptos"/>
        </w:rPr>
        <w:t>Evaluate controls and produce PASS / FAIL / INCONCLUSIVE findings.</w:t>
      </w:r>
    </w:p>
    <w:p>
      <w:pPr>
        <w:spacing w:after="50"/>
        <w:ind w:left="403" w:hanging="288"/>
      </w:pPr>
      <w:r>
        <w:rPr>
          <w:rFonts w:ascii="Aptos" w:hAnsi="Aptos"/>
          <w:b/>
        </w:rPr>
        <w:t xml:space="preserve">11.  </w:t>
      </w:r>
      <w:r>
        <w:rPr>
          <w:rFonts w:ascii="Aptos" w:hAnsi="Aptos"/>
        </w:rPr>
        <w:t>Create semantic diff / equivalence graph relationships as requested.</w:t>
      </w:r>
    </w:p>
    <w:p>
      <w:pPr>
        <w:spacing w:after="50"/>
        <w:ind w:left="403" w:hanging="288"/>
      </w:pPr>
      <w:r>
        <w:rPr>
          <w:rFonts w:ascii="Aptos" w:hAnsi="Aptos"/>
          <w:b/>
        </w:rPr>
        <w:t xml:space="preserve">12.  </w:t>
      </w:r>
      <w:r>
        <w:rPr>
          <w:rFonts w:ascii="Aptos" w:hAnsi="Aptos"/>
        </w:rPr>
        <w:t>Generate counterfactual simulation for proposed remediation.</w:t>
      </w:r>
    </w:p>
    <w:p>
      <w:pPr>
        <w:spacing w:after="50"/>
        <w:ind w:left="403" w:hanging="288"/>
      </w:pPr>
      <w:r>
        <w:rPr>
          <w:rFonts w:ascii="Aptos" w:hAnsi="Aptos"/>
          <w:b/>
        </w:rPr>
        <w:t xml:space="preserve">13.  </w:t>
      </w:r>
      <w:r>
        <w:rPr>
          <w:rFonts w:ascii="Aptos" w:hAnsi="Aptos"/>
        </w:rPr>
        <w:t>Record approval and knowledge changes with immutable audit metadata.</w:t>
      </w:r>
    </w:p>
    <w:p>
      <w:pPr>
        <w:spacing w:after="50"/>
        <w:ind w:left="403" w:hanging="288"/>
      </w:pPr>
      <w:r>
        <w:rPr>
          <w:rFonts w:ascii="Aptos" w:hAnsi="Aptos"/>
          <w:b/>
        </w:rPr>
        <w:t xml:space="preserve">14.  </w:t>
      </w:r>
      <w:r>
        <w:rPr>
          <w:rFonts w:ascii="Aptos" w:hAnsi="Aptos"/>
        </w:rPr>
        <w:t>Re-audit after approved change or knowledge update and produce report.</w:t>
      </w:r>
    </w:p>
    <w:p>
      <w:pPr>
        <w:pStyle w:val="Heading1"/>
      </w:pPr>
      <w:r>
        <w:t>6. Vendor Detection and Parsing</w:t>
      </w:r>
    </w:p>
    <w:p>
      <w:pPr>
        <w:pStyle w:val="Heading2"/>
      </w:pPr>
      <w:r>
        <w:t>6.1 Vendor Detector</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016"/>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Signal</w:t>
            </w:r>
          </w:p>
        </w:tc>
        <w:tc>
          <w:tcPr>
            <w:tcW w:type="dxa" w:w="4464"/>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Example use</w:t>
            </w:r>
          </w:p>
        </w:tc>
        <w:tc>
          <w:tcPr>
            <w:tcW w:type="dxa" w:w="2592"/>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Output</w:t>
            </w:r>
          </w:p>
        </w:tc>
      </w:tr>
      <w:tr>
        <w:tc>
          <w:tcPr>
            <w:tcW w:type="dxa" w:w="2016"/>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Unique keywords</w:t>
            </w:r>
          </w:p>
        </w:tc>
        <w:tc>
          <w:tcPr>
            <w:tcW w:type="dxa" w:w="4464"/>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Device/platform commands</w:t>
            </w:r>
          </w:p>
        </w:tc>
        <w:tc>
          <w:tcPr>
            <w:tcW w:type="dxa" w:w="259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Candidate vendor</w:t>
            </w:r>
          </w:p>
        </w:tc>
      </w:tr>
      <w:tr>
        <w:tc>
          <w:tcPr>
            <w:tcW w:type="dxa" w:w="2016"/>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Section grammar</w:t>
            </w:r>
          </w:p>
        </w:tc>
        <w:tc>
          <w:tcPr>
            <w:tcW w:type="dxa" w:w="4464"/>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Command hierarchy / indentation</w:t>
            </w:r>
          </w:p>
        </w:tc>
        <w:tc>
          <w:tcPr>
            <w:tcW w:type="dxa" w:w="259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Candidate platform</w:t>
            </w:r>
          </w:p>
        </w:tc>
      </w:tr>
      <w:tr>
        <w:tc>
          <w:tcPr>
            <w:tcW w:type="dxa" w:w="2016"/>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Known directives</w:t>
            </w:r>
          </w:p>
        </w:tc>
        <w:tc>
          <w:tcPr>
            <w:tcW w:type="dxa" w:w="4464"/>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Vendor-specific statements</w:t>
            </w:r>
          </w:p>
        </w:tc>
        <w:tc>
          <w:tcPr>
            <w:tcW w:type="dxa" w:w="259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Evidence for vendor score</w:t>
            </w:r>
          </w:p>
        </w:tc>
      </w:tr>
      <w:tr>
        <w:tc>
          <w:tcPr>
            <w:tcW w:type="dxa" w:w="2016"/>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File metadata</w:t>
            </w:r>
          </w:p>
        </w:tc>
        <w:tc>
          <w:tcPr>
            <w:tcW w:type="dxa" w:w="4464"/>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Optional filename or uploaded metadata</w:t>
            </w:r>
          </w:p>
        </w:tc>
        <w:tc>
          <w:tcPr>
            <w:tcW w:type="dxa" w:w="259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Weak supporting signal</w:t>
            </w:r>
          </w:p>
        </w:tc>
      </w:tr>
    </w:tbl>
    <w:p>
      <w:pPr>
        <w:spacing w:after="0"/>
      </w:pPr>
    </w:p>
    <w:p>
      <w:r>
        <w:t>The detector should output vendor, platform (when available), confidence and supporting signals. Ambiguous cases must expose a manual confirmation path.</w:t>
      </w:r>
    </w:p>
    <w:p>
      <w:pPr>
        <w:pStyle w:val="Heading2"/>
      </w:pPr>
      <w:r>
        <w:t>6.2 Parser Contract</w:t>
      </w:r>
    </w:p>
    <w:p>
      <w:pPr>
        <w:pStyle w:val="CodeBlock"/>
        <w:keepLines/>
      </w:pPr>
      <w:r>
        <w:rPr>
          <w:rFonts w:ascii="Consolas" w:hAnsi="Consolas"/>
          <w:sz w:val="16"/>
        </w:rPr>
        <w:t>parse(config_text, vendor, platform=None) -&gt; ParseResult</w:t>
        <w:br/>
      </w:r>
      <w:r>
        <w:rPr>
          <w:rFonts w:ascii="Consolas" w:hAnsi="Consolas"/>
          <w:sz w:val="16"/>
        </w:rPr>
        <w:br/>
      </w:r>
      <w:r>
        <w:rPr>
          <w:rFonts w:ascii="Consolas" w:hAnsi="Consolas"/>
          <w:sz w:val="16"/>
        </w:rPr>
        <w:t>ParseResult:</w:t>
        <w:br/>
      </w:r>
      <w:r>
        <w:rPr>
          <w:rFonts w:ascii="Consolas" w:hAnsi="Consolas"/>
          <w:sz w:val="16"/>
        </w:rPr>
        <w:t xml:space="preserve">  fragments: [ConfigFragment]</w:t>
        <w:br/>
      </w:r>
      <w:r>
        <w:rPr>
          <w:rFonts w:ascii="Consolas" w:hAnsi="Consolas"/>
          <w:sz w:val="16"/>
        </w:rPr>
        <w:t xml:space="preserve">  properties: [SecurityPropertyEvidence]</w:t>
        <w:br/>
      </w:r>
      <w:r>
        <w:rPr>
          <w:rFonts w:ascii="Consolas" w:hAnsi="Consolas"/>
          <w:sz w:val="16"/>
        </w:rPr>
        <w:t xml:space="preserve">  unknown_fragments: [ConfigFragment]</w:t>
        <w:br/>
      </w:r>
      <w:r>
        <w:rPr>
          <w:rFonts w:ascii="Consolas" w:hAnsi="Consolas"/>
          <w:sz w:val="16"/>
        </w:rPr>
        <w:t xml:space="preserve">  warnings: [ParserWarning]</w:t>
        <w:br/>
      </w:r>
    </w:p>
    <w:p>
      <w:r>
        <w:t>Every extracted property should retain source location information: file id, line start, line end, and normalized property id. A parser must report what it could not understand.</w:t>
      </w:r>
    </w:p>
    <w:p>
      <w:pPr>
        <w:pStyle w:val="Heading2"/>
      </w:pPr>
      <w:r>
        <w:t>6.3 Initial Vendor Strategy</w:t>
      </w:r>
    </w:p>
    <w:p>
      <w:pPr>
        <w:pStyle w:val="ListBullet"/>
        <w:spacing w:after="50"/>
        <w:ind w:left="288"/>
      </w:pPr>
      <w:r>
        <w:rPr>
          <w:rFonts w:ascii="Aptos" w:hAnsi="Aptos"/>
          <w:b/>
        </w:rPr>
        <w:t xml:space="preserve">Primary demo vendors: </w:t>
      </w:r>
      <w:r>
        <w:rPr>
          <w:rFonts w:ascii="Aptos" w:hAnsi="Aptos"/>
        </w:rPr>
        <w:t>Cisco IOS-style, Juniper Junos-style and Fortinet FortiGate-style configurations.</w:t>
      </w:r>
    </w:p>
    <w:p>
      <w:pPr>
        <w:pStyle w:val="ListBullet"/>
        <w:spacing w:after="50"/>
        <w:ind w:left="288"/>
      </w:pPr>
      <w:r>
        <w:rPr>
          <w:rFonts w:ascii="Aptos" w:hAnsi="Aptos"/>
          <w:b/>
        </w:rPr>
        <w:t xml:space="preserve">Adapter design: </w:t>
      </w:r>
      <w:r>
        <w:rPr>
          <w:rFonts w:ascii="Aptos" w:hAnsi="Aptos"/>
        </w:rPr>
        <w:t>One parser adapter per vendor syntax family, but all adapters emit the same SecurityPropertyEvidence schema.</w:t>
      </w:r>
    </w:p>
    <w:p>
      <w:pPr>
        <w:pStyle w:val="ListBullet"/>
        <w:spacing w:after="50"/>
        <w:ind w:left="288"/>
      </w:pPr>
      <w:r>
        <w:rPr>
          <w:rFonts w:ascii="Aptos" w:hAnsi="Aptos"/>
          <w:b/>
        </w:rPr>
        <w:t xml:space="preserve">Extension path: </w:t>
      </w:r>
      <w:r>
        <w:rPr>
          <w:rFonts w:ascii="Aptos" w:hAnsi="Aptos"/>
        </w:rPr>
        <w:t>Add Arista / Palo Alto / HPE Aruba / SONiC adapters later without changing the compliance engine.</w:t>
      </w:r>
    </w:p>
    <w:p>
      <w:pPr>
        <w:pStyle w:val="Heading1"/>
      </w:pPr>
      <w:r>
        <w:t>7. Vendor-Neutral Security Model</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880"/>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Property category</w:t>
            </w:r>
          </w:p>
        </w:tc>
        <w:tc>
          <w:tcPr>
            <w:tcW w:type="dxa" w:w="6192"/>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Canonical states</w:t>
            </w:r>
          </w:p>
        </w:tc>
      </w:tr>
      <w:tr>
        <w:tc>
          <w:tcPr>
            <w:tcW w:type="dxa" w:w="288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Management access</w:t>
            </w:r>
          </w:p>
        </w:tc>
        <w:tc>
          <w:tcPr>
            <w:tcW w:type="dxa" w:w="619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SSH_ONLY, SSH_AND_OTHER, UNRESTRICTED, DISABLED, UNKNOWN</w:t>
            </w:r>
          </w:p>
        </w:tc>
      </w:tr>
      <w:tr>
        <w:tc>
          <w:tcPr>
            <w:tcW w:type="dxa" w:w="2880"/>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Authentication</w:t>
            </w:r>
          </w:p>
        </w:tc>
        <w:tc>
          <w:tcPr>
            <w:tcW w:type="dxa" w:w="619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REQUIRED, OPTIONAL, DISABLED, UNKNOWN</w:t>
            </w:r>
          </w:p>
        </w:tc>
      </w:tr>
      <w:tr>
        <w:tc>
          <w:tcPr>
            <w:tcW w:type="dxa" w:w="288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Logging</w:t>
            </w:r>
          </w:p>
        </w:tc>
        <w:tc>
          <w:tcPr>
            <w:tcW w:type="dxa" w:w="619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CENTRAL_ENABLED, LOCAL_ONLY, DISABLED, UNKNOWN</w:t>
            </w:r>
          </w:p>
        </w:tc>
      </w:tr>
      <w:tr>
        <w:tc>
          <w:tcPr>
            <w:tcW w:type="dxa" w:w="2880"/>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Time sync</w:t>
            </w:r>
          </w:p>
        </w:tc>
        <w:tc>
          <w:tcPr>
            <w:tcW w:type="dxa" w:w="619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NTP_ENABLED, NTP_RESTRICTED, DISABLED, UNKNOWN</w:t>
            </w:r>
          </w:p>
        </w:tc>
      </w:tr>
      <w:tr>
        <w:tc>
          <w:tcPr>
            <w:tcW w:type="dxa" w:w="288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SNMP</w:t>
            </w:r>
          </w:p>
        </w:tc>
        <w:tc>
          <w:tcPr>
            <w:tcW w:type="dxa" w:w="619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SECURE, RESTRICTED, INSECURE, DISABLED, UNKNOWN</w:t>
            </w:r>
          </w:p>
        </w:tc>
      </w:tr>
      <w:tr>
        <w:tc>
          <w:tcPr>
            <w:tcW w:type="dxa" w:w="2880"/>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ACL / policy</w:t>
            </w:r>
          </w:p>
        </w:tc>
        <w:tc>
          <w:tcPr>
            <w:tcW w:type="dxa" w:w="619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RESTRICTED, PARTIAL, UNRESTRICTED, UNKNOWN</w:t>
            </w:r>
          </w:p>
        </w:tc>
      </w:tr>
      <w:tr>
        <w:tc>
          <w:tcPr>
            <w:tcW w:type="dxa" w:w="288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Service exposure</w:t>
            </w:r>
          </w:p>
        </w:tc>
        <w:tc>
          <w:tcPr>
            <w:tcW w:type="dxa" w:w="619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MINIMAL, EXCESS, UNKNOWN</w:t>
            </w:r>
          </w:p>
        </w:tc>
      </w:tr>
      <w:tr>
        <w:tc>
          <w:tcPr>
            <w:tcW w:type="dxa" w:w="2880"/>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Completeness</w:t>
            </w:r>
          </w:p>
        </w:tc>
        <w:tc>
          <w:tcPr>
            <w:tcW w:type="dxa" w:w="619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COMPLETE, PARTIAL, MISSING_CONTEXT</w:t>
            </w:r>
          </w:p>
        </w:tc>
      </w:tr>
    </w:tbl>
    <w:p>
      <w:pPr>
        <w:spacing w:after="0"/>
      </w:pPr>
    </w:p>
    <w:p>
      <w:r>
        <w:t>Do not normalize raw vendor commands into one generic string. Normalize their security meaning into stable property ids that the compliance layer can consume.</w:t>
      </w:r>
    </w:p>
    <w:p>
      <w:pPr>
        <w:pStyle w:val="Heading1"/>
      </w:pPr>
      <w:r>
        <w:t>8. Universal Security Intent Compiler</w:t>
      </w:r>
    </w:p>
    <w:p>
      <w:r>
        <w:t>The intent compiler should be intentionally bounded. It is not a general-purpose conversational agent. It converts a controlled subset of human-readable security requirements into predicates over the vendor-neutral security model.</w:t>
      </w:r>
    </w:p>
    <w:p>
      <w:pPr>
        <w:pStyle w:val="CodeBlock"/>
        <w:keepLines/>
      </w:pPr>
      <w:r>
        <w:rPr>
          <w:rFonts w:ascii="Consolas" w:hAnsi="Consolas"/>
          <w:sz w:val="16"/>
        </w:rPr>
        <w:t>Input:</w:t>
        <w:br/>
      </w:r>
      <w:r>
        <w:rPr>
          <w:rFonts w:ascii="Consolas" w:hAnsi="Consolas"/>
          <w:sz w:val="16"/>
        </w:rPr>
        <w:t>"Management access must use SSH and be restricted to the admin subnet."</w:t>
        <w:br/>
      </w:r>
      <w:r>
        <w:rPr>
          <w:rFonts w:ascii="Consolas" w:hAnsi="Consolas"/>
          <w:sz w:val="16"/>
        </w:rPr>
        <w:br/>
      </w:r>
      <w:r>
        <w:rPr>
          <w:rFonts w:ascii="Consolas" w:hAnsi="Consolas"/>
          <w:sz w:val="16"/>
        </w:rPr>
        <w:t>Compiled intent:</w:t>
        <w:br/>
      </w:r>
      <w:r>
        <w:rPr>
          <w:rFonts w:ascii="Consolas" w:hAnsi="Consolas"/>
          <w:sz w:val="16"/>
        </w:rPr>
        <w:t xml:space="preserve">  management.protocol == SSH_ONLY</w:t>
        <w:br/>
      </w:r>
      <w:r>
        <w:rPr>
          <w:rFonts w:ascii="Consolas" w:hAnsi="Consolas"/>
          <w:sz w:val="16"/>
        </w:rPr>
        <w:t xml:space="preserve">  AND management.source_scope == ADMIN_SUBNET</w:t>
        <w:br/>
      </w:r>
      <w:r>
        <w:rPr>
          <w:rFonts w:ascii="Consolas" w:hAnsi="Consolas"/>
          <w:sz w:val="16"/>
        </w:rPr>
        <w:br/>
      </w:r>
      <w:r>
        <w:rPr>
          <w:rFonts w:ascii="Consolas" w:hAnsi="Consolas"/>
          <w:sz w:val="16"/>
        </w:rPr>
        <w:t>Evaluation:</w:t>
        <w:br/>
      </w:r>
      <w:r>
        <w:rPr>
          <w:rFonts w:ascii="Consolas" w:hAnsi="Consolas"/>
          <w:sz w:val="16"/>
        </w:rPr>
        <w:t xml:space="preserve">  map predicates -&gt; vendor-neutral properties -&gt; evidence -&gt; finding</w:t>
        <w:br/>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880"/>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Compiler step</w:t>
            </w:r>
          </w:p>
        </w:tc>
        <w:tc>
          <w:tcPr>
            <w:tcW w:type="dxa" w:w="6192"/>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Implementation</w:t>
            </w:r>
          </w:p>
        </w:tc>
      </w:tr>
      <w:tr>
        <w:tc>
          <w:tcPr>
            <w:tcW w:type="dxa" w:w="288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Tokenize / normalize</w:t>
            </w:r>
          </w:p>
        </w:tc>
        <w:tc>
          <w:tcPr>
            <w:tcW w:type="dxa" w:w="619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Lowercase, phrase normalization, alias map</w:t>
            </w:r>
          </w:p>
        </w:tc>
      </w:tr>
      <w:tr>
        <w:tc>
          <w:tcPr>
            <w:tcW w:type="dxa" w:w="2880"/>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Extract property</w:t>
            </w:r>
          </w:p>
        </w:tc>
        <w:tc>
          <w:tcPr>
            <w:tcW w:type="dxa" w:w="619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Identify known security categories and attributes</w:t>
            </w:r>
          </w:p>
        </w:tc>
      </w:tr>
      <w:tr>
        <w:tc>
          <w:tcPr>
            <w:tcW w:type="dxa" w:w="288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Extract constraint</w:t>
            </w:r>
          </w:p>
        </w:tc>
        <w:tc>
          <w:tcPr>
            <w:tcW w:type="dxa" w:w="619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Required / prohibited / restricted / enabled / disabled</w:t>
            </w:r>
          </w:p>
        </w:tc>
      </w:tr>
      <w:tr>
        <w:tc>
          <w:tcPr>
            <w:tcW w:type="dxa" w:w="2880"/>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Build predicate</w:t>
            </w:r>
          </w:p>
        </w:tc>
        <w:tc>
          <w:tcPr>
            <w:tcW w:type="dxa" w:w="619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Create typed JSON-like policy object</w:t>
            </w:r>
          </w:p>
        </w:tc>
      </w:tr>
      <w:tr>
        <w:tc>
          <w:tcPr>
            <w:tcW w:type="dxa" w:w="288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Validate</w:t>
            </w:r>
          </w:p>
        </w:tc>
        <w:tc>
          <w:tcPr>
            <w:tcW w:type="dxa" w:w="619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Reject unsupported or ambiguous intent instead of guessing</w:t>
            </w:r>
          </w:p>
        </w:tc>
      </w:tr>
    </w:tbl>
    <w:p>
      <w:pPr>
        <w:spacing w:after="0"/>
      </w:pPr>
    </w:p>
    <w:p>
      <w:pPr>
        <w:pStyle w:val="Heading1"/>
      </w:pPr>
      <w:r>
        <w:t>9. Self-Evolving Vendor Dialect Engine</w:t>
      </w:r>
    </w:p>
    <w:p>
      <w:r>
        <w:t>This is the main adaptive pipeline. It must remain bounded and explainable.</w:t>
      </w:r>
    </w:p>
    <w:p>
      <w:pPr>
        <w:pStyle w:val="CodeBlock"/>
        <w:keepLines/>
      </w:pPr>
      <w:r>
        <w:rPr>
          <w:rFonts w:ascii="Consolas" w:hAnsi="Consolas"/>
          <w:sz w:val="16"/>
        </w:rPr>
        <w:t>unknown fragment</w:t>
        <w:br/>
      </w:r>
      <w:r>
        <w:rPr>
          <w:rFonts w:ascii="Consolas" w:hAnsi="Consolas"/>
          <w:sz w:val="16"/>
        </w:rPr>
        <w:t xml:space="preserve">      ↓</w:t>
        <w:br/>
      </w:r>
      <w:r>
        <w:rPr>
          <w:rFonts w:ascii="Consolas" w:hAnsi="Consolas"/>
          <w:sz w:val="16"/>
        </w:rPr>
        <w:t>feature extraction</w:t>
        <w:br/>
      </w:r>
      <w:r>
        <w:rPr>
          <w:rFonts w:ascii="Consolas" w:hAnsi="Consolas"/>
          <w:sz w:val="16"/>
        </w:rPr>
        <w:t xml:space="preserve">  (tokens, n-grams, context)</w:t>
        <w:br/>
      </w:r>
      <w:r>
        <w:rPr>
          <w:rFonts w:ascii="Consolas" w:hAnsi="Consolas"/>
          <w:sz w:val="16"/>
        </w:rPr>
        <w:t xml:space="preserve">      ↓</w:t>
        <w:br/>
      </w:r>
      <w:r>
        <w:rPr>
          <w:rFonts w:ascii="Consolas" w:hAnsi="Consolas"/>
          <w:sz w:val="16"/>
        </w:rPr>
        <w:t>local classifier</w:t>
        <w:br/>
      </w:r>
      <w:r>
        <w:rPr>
          <w:rFonts w:ascii="Consolas" w:hAnsi="Consolas"/>
          <w:sz w:val="16"/>
        </w:rPr>
        <w:t xml:space="preserve">      ↓</w:t>
        <w:br/>
      </w:r>
      <w:r>
        <w:rPr>
          <w:rFonts w:ascii="Consolas" w:hAnsi="Consolas"/>
          <w:sz w:val="16"/>
        </w:rPr>
        <w:t>predicted security property + confidence</w:t>
        <w:br/>
      </w:r>
      <w:r>
        <w:rPr>
          <w:rFonts w:ascii="Consolas" w:hAnsi="Consolas"/>
          <w:sz w:val="16"/>
        </w:rPr>
        <w:t xml:space="preserve">      ↓</w:t>
        <w:br/>
      </w:r>
      <w:r>
        <w:rPr>
          <w:rFonts w:ascii="Consolas" w:hAnsi="Consolas"/>
          <w:sz w:val="16"/>
        </w:rPr>
        <w:t>threshold check</w:t>
        <w:br/>
      </w:r>
      <w:r>
        <w:rPr>
          <w:rFonts w:ascii="Consolas" w:hAnsi="Consolas"/>
          <w:sz w:val="16"/>
        </w:rPr>
        <w:t xml:space="preserve">  ├─ high confidence → candidate mapping</w:t>
        <w:br/>
      </w:r>
      <w:r>
        <w:rPr>
          <w:rFonts w:ascii="Consolas" w:hAnsi="Consolas"/>
          <w:sz w:val="16"/>
        </w:rPr>
        <w:t xml:space="preserve">  └─ low confidence  → INCONCLUSIVE + human review</w:t>
        <w:br/>
      </w:r>
      <w:r>
        <w:rPr>
          <w:rFonts w:ascii="Consolas" w:hAnsi="Consolas"/>
          <w:sz w:val="16"/>
        </w:rPr>
        <w:t xml:space="preserve">      ↓</w:t>
        <w:br/>
      </w:r>
      <w:r>
        <w:rPr>
          <w:rFonts w:ascii="Consolas" w:hAnsi="Consolas"/>
          <w:sz w:val="16"/>
        </w:rPr>
        <w:t>human approval / correction</w:t>
        <w:br/>
      </w:r>
      <w:r>
        <w:rPr>
          <w:rFonts w:ascii="Consolas" w:hAnsi="Consolas"/>
          <w:sz w:val="16"/>
        </w:rPr>
        <w:t xml:space="preserve">      ↓</w:t>
        <w:br/>
      </w:r>
      <w:r>
        <w:rPr>
          <w:rFonts w:ascii="Consolas" w:hAnsi="Consolas"/>
          <w:sz w:val="16"/>
        </w:rPr>
        <w:t>versioned knowledge mapping</w:t>
        <w:br/>
      </w:r>
      <w:r>
        <w:rPr>
          <w:rFonts w:ascii="Consolas" w:hAnsi="Consolas"/>
          <w:sz w:val="16"/>
        </w:rPr>
        <w:t xml:space="preserve">      ↓</w:t>
        <w:br/>
      </w:r>
      <w:r>
        <w:rPr>
          <w:rFonts w:ascii="Consolas" w:hAnsi="Consolas"/>
          <w:sz w:val="16"/>
        </w:rPr>
        <w:t>regression example added to local training set</w:t>
        <w:br/>
      </w:r>
      <w:r>
        <w:rPr>
          <w:rFonts w:ascii="Consolas" w:hAnsi="Consolas"/>
          <w:sz w:val="16"/>
        </w:rPr>
        <w:t xml:space="preserve">      ↓</w:t>
        <w:br/>
      </w:r>
      <w:r>
        <w:rPr>
          <w:rFonts w:ascii="Consolas" w:hAnsi="Consolas"/>
          <w:sz w:val="16"/>
        </w:rPr>
        <w:t>future audits reuse mapping</w:t>
        <w:br/>
      </w:r>
    </w:p>
    <w:p>
      <w:r>
        <w:t>Recommended MVP model: TF-IDF features using word + character n-grams with a linear classifier. Character n-grams are valuable for vendor command syntax because they capture recurring tokens even when full words differ.</w:t>
      </w:r>
    </w:p>
    <w:p>
      <w:pPr>
        <w:pStyle w:val="Heading1"/>
      </w:pPr>
      <w:r>
        <w:t>10. Knowledge Registry and Reversal</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880"/>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Field</w:t>
            </w:r>
          </w:p>
        </w:tc>
        <w:tc>
          <w:tcPr>
            <w:tcW w:type="dxa" w:w="6192"/>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Purpose</w:t>
            </w:r>
          </w:p>
        </w:tc>
      </w:tr>
      <w:tr>
        <w:tc>
          <w:tcPr>
            <w:tcW w:type="dxa" w:w="288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mapping_id</w:t>
            </w:r>
          </w:p>
        </w:tc>
        <w:tc>
          <w:tcPr>
            <w:tcW w:type="dxa" w:w="619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Stable identifier</w:t>
            </w:r>
          </w:p>
        </w:tc>
      </w:tr>
      <w:tr>
        <w:tc>
          <w:tcPr>
            <w:tcW w:type="dxa" w:w="2880"/>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vendor / platform</w:t>
            </w:r>
          </w:p>
        </w:tc>
        <w:tc>
          <w:tcPr>
            <w:tcW w:type="dxa" w:w="619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Scope of validity</w:t>
            </w:r>
          </w:p>
        </w:tc>
      </w:tr>
      <w:tr>
        <w:tc>
          <w:tcPr>
            <w:tcW w:type="dxa" w:w="288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version_scope</w:t>
            </w:r>
          </w:p>
        </w:tc>
        <w:tc>
          <w:tcPr>
            <w:tcW w:type="dxa" w:w="619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Vendor OS / syntax version range when known</w:t>
            </w:r>
          </w:p>
        </w:tc>
      </w:tr>
      <w:tr>
        <w:tc>
          <w:tcPr>
            <w:tcW w:type="dxa" w:w="2880"/>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fragment_pattern</w:t>
            </w:r>
          </w:p>
        </w:tc>
        <w:tc>
          <w:tcPr>
            <w:tcW w:type="dxa" w:w="619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Observed syntax or normalized representation</w:t>
            </w:r>
          </w:p>
        </w:tc>
      </w:tr>
      <w:tr>
        <w:tc>
          <w:tcPr>
            <w:tcW w:type="dxa" w:w="288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security_property</w:t>
            </w:r>
          </w:p>
        </w:tc>
        <w:tc>
          <w:tcPr>
            <w:tcW w:type="dxa" w:w="619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Target property id</w:t>
            </w:r>
          </w:p>
        </w:tc>
      </w:tr>
      <w:tr>
        <w:tc>
          <w:tcPr>
            <w:tcW w:type="dxa" w:w="2880"/>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confidence</w:t>
            </w:r>
          </w:p>
        </w:tc>
        <w:tc>
          <w:tcPr>
            <w:tcW w:type="dxa" w:w="619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Original model confidence</w:t>
            </w:r>
          </w:p>
        </w:tc>
      </w:tr>
      <w:tr>
        <w:tc>
          <w:tcPr>
            <w:tcW w:type="dxa" w:w="288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review_status</w:t>
            </w:r>
          </w:p>
        </w:tc>
        <w:tc>
          <w:tcPr>
            <w:tcW w:type="dxa" w:w="619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PENDING / APPROVED / REJECTED / REVOKED</w:t>
            </w:r>
          </w:p>
        </w:tc>
      </w:tr>
      <w:tr>
        <w:tc>
          <w:tcPr>
            <w:tcW w:type="dxa" w:w="2880"/>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reviewer</w:t>
            </w:r>
          </w:p>
        </w:tc>
        <w:tc>
          <w:tcPr>
            <w:tcW w:type="dxa" w:w="619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Human approver identifier</w:t>
            </w:r>
          </w:p>
        </w:tc>
      </w:tr>
      <w:tr>
        <w:tc>
          <w:tcPr>
            <w:tcW w:type="dxa" w:w="288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mapping_version</w:t>
            </w:r>
          </w:p>
        </w:tc>
        <w:tc>
          <w:tcPr>
            <w:tcW w:type="dxa" w:w="619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Versioned lifecycle</w:t>
            </w:r>
          </w:p>
        </w:tc>
      </w:tr>
      <w:tr>
        <w:tc>
          <w:tcPr>
            <w:tcW w:type="dxa" w:w="2880"/>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provenance</w:t>
            </w:r>
          </w:p>
        </w:tc>
        <w:tc>
          <w:tcPr>
            <w:tcW w:type="dxa" w:w="619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Source file hash, line range, timestamp</w:t>
            </w:r>
          </w:p>
        </w:tc>
      </w:tr>
      <w:tr>
        <w:tc>
          <w:tcPr>
            <w:tcW w:type="dxa" w:w="288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affected_audits</w:t>
            </w:r>
          </w:p>
        </w:tc>
        <w:tc>
          <w:tcPr>
            <w:tcW w:type="dxa" w:w="619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References to audit results using this mapping</w:t>
            </w:r>
          </w:p>
        </w:tc>
      </w:tr>
    </w:tbl>
    <w:p>
      <w:pPr>
        <w:spacing w:after="0"/>
      </w:pPr>
    </w:p>
    <w:p>
      <w:r>
        <w:t>When a mapping is revoked, do not silently delete history. Mark it revoked, list impacted audits, and schedule those results for re-evaluation.</w:t>
      </w:r>
    </w:p>
    <w:p>
      <w:pPr>
        <w:pStyle w:val="Heading1"/>
      </w:pPr>
      <w:r>
        <w:t>11. Cross-Vendor Security Equivalence Graph</w:t>
      </w:r>
    </w:p>
    <w:p>
      <w:pPr>
        <w:pStyle w:val="CodeBlock"/>
        <w:keepLines/>
      </w:pPr>
      <w:r>
        <w:rPr>
          <w:rFonts w:ascii="Consolas" w:hAnsi="Consolas"/>
          <w:sz w:val="16"/>
        </w:rPr>
        <w:t>[Cisco: transport input ssh]</w:t>
        <w:br/>
      </w:r>
      <w:r>
        <w:rPr>
          <w:rFonts w:ascii="Consolas" w:hAnsi="Consolas"/>
          <w:sz w:val="16"/>
        </w:rPr>
        <w:t xml:space="preserve">             \ </w:t>
        <w:br/>
      </w:r>
      <w:r>
        <w:rPr>
          <w:rFonts w:ascii="Consolas" w:hAnsi="Consolas"/>
          <w:sz w:val="16"/>
        </w:rPr>
        <w:t xml:space="preserve">              → [management.protocol = SSH_ONLY]</w:t>
        <w:br/>
      </w:r>
      <w:r>
        <w:rPr>
          <w:rFonts w:ascii="Consolas" w:hAnsi="Consolas"/>
          <w:sz w:val="16"/>
        </w:rPr>
        <w:t xml:space="preserve">             / </w:t>
        <w:br/>
      </w:r>
      <w:r>
        <w:rPr>
          <w:rFonts w:ascii="Consolas" w:hAnsi="Consolas"/>
          <w:sz w:val="16"/>
        </w:rPr>
        <w:t>[Juniper: ssh service]</w:t>
        <w:br/>
      </w:r>
      <w:r>
        <w:rPr>
          <w:rFonts w:ascii="Consolas" w:hAnsi="Consolas"/>
          <w:sz w:val="16"/>
        </w:rPr>
        <w:br/>
      </w:r>
      <w:r>
        <w:rPr>
          <w:rFonts w:ascii="Consolas" w:hAnsi="Consolas"/>
          <w:sz w:val="16"/>
        </w:rPr>
        <w:t>[Fortinet: administrative SSH]</w:t>
        <w:br/>
      </w:r>
      <w:r>
        <w:rPr>
          <w:rFonts w:ascii="Consolas" w:hAnsi="Consolas"/>
          <w:sz w:val="16"/>
        </w:rPr>
        <w:t xml:space="preserve">             → [management.protocol = SSH_ONLY]</w:t>
        <w:br/>
      </w:r>
    </w:p>
    <w:p>
      <w:r>
        <w:t>Graph entities: vendor fragment, configuration fragment, security property, control, finding. The graph should express security-property equivalence only. It must not imply that two vendor configurations are operationally interchangeable byte-for-byte.</w:t>
      </w:r>
    </w:p>
    <w:p>
      <w:pPr>
        <w:pStyle w:val="Heading1"/>
      </w:pPr>
      <w:r>
        <w:t>12. Compliance Engine</w:t>
      </w:r>
    </w:p>
    <w:p>
      <w:pPr>
        <w:pStyle w:val="CodeBlock"/>
        <w:keepLines/>
      </w:pPr>
      <w:r>
        <w:rPr>
          <w:rFonts w:ascii="Consolas" w:hAnsi="Consolas"/>
          <w:sz w:val="16"/>
        </w:rPr>
        <w:t>for control in controls:</w:t>
        <w:br/>
      </w:r>
      <w:r>
        <w:rPr>
          <w:rFonts w:ascii="Consolas" w:hAnsi="Consolas"/>
          <w:sz w:val="16"/>
        </w:rPr>
        <w:t xml:space="preserve">    evidence = evaluate(control, security_state)</w:t>
        <w:br/>
      </w:r>
      <w:r>
        <w:rPr>
          <w:rFonts w:ascii="Consolas" w:hAnsi="Consolas"/>
          <w:sz w:val="16"/>
        </w:rPr>
        <w:br/>
      </w:r>
      <w:r>
        <w:rPr>
          <w:rFonts w:ascii="Consolas" w:hAnsi="Consolas"/>
          <w:sz w:val="16"/>
        </w:rPr>
        <w:t xml:space="preserve">    if evidence.sufficient and evidence.compliant:</w:t>
        <w:br/>
      </w:r>
      <w:r>
        <w:rPr>
          <w:rFonts w:ascii="Consolas" w:hAnsi="Consolas"/>
          <w:sz w:val="16"/>
        </w:rPr>
        <w:t xml:space="preserve">        status = PASS</w:t>
        <w:br/>
      </w:r>
      <w:r>
        <w:rPr>
          <w:rFonts w:ascii="Consolas" w:hAnsi="Consolas"/>
          <w:sz w:val="16"/>
        </w:rPr>
        <w:t xml:space="preserve">    elif evidence.sufficient and evidence.non_compliant:</w:t>
        <w:br/>
      </w:r>
      <w:r>
        <w:rPr>
          <w:rFonts w:ascii="Consolas" w:hAnsi="Consolas"/>
          <w:sz w:val="16"/>
        </w:rPr>
        <w:t xml:space="preserve">        status = FAIL</w:t>
        <w:br/>
      </w:r>
      <w:r>
        <w:rPr>
          <w:rFonts w:ascii="Consolas" w:hAnsi="Consolas"/>
          <w:sz w:val="16"/>
        </w:rPr>
        <w:t xml:space="preserve">    else:</w:t>
        <w:br/>
      </w:r>
      <w:r>
        <w:rPr>
          <w:rFonts w:ascii="Consolas" w:hAnsi="Consolas"/>
          <w:sz w:val="16"/>
        </w:rPr>
        <w:t xml:space="preserve">        status = INCONCLUSIVE</w:t>
        <w:br/>
      </w:r>
    </w:p>
    <w:p>
      <w:pPr>
        <w:pStyle w:val="ListBullet"/>
        <w:spacing w:after="50"/>
        <w:ind w:left="288"/>
      </w:pPr>
      <w:r>
        <w:rPr>
          <w:rFonts w:ascii="Aptos" w:hAnsi="Aptos"/>
          <w:b/>
        </w:rPr>
        <w:t xml:space="preserve">Rule source of truth: </w:t>
      </w:r>
      <w:r>
        <w:rPr>
          <w:rFonts w:ascii="Aptos" w:hAnsi="Aptos"/>
        </w:rPr>
        <w:t>deterministic predicates over normalized properties and evidence.</w:t>
      </w:r>
    </w:p>
    <w:p>
      <w:pPr>
        <w:pStyle w:val="ListBullet"/>
        <w:spacing w:after="50"/>
        <w:ind w:left="288"/>
      </w:pPr>
      <w:r>
        <w:rPr>
          <w:rFonts w:ascii="Aptos" w:hAnsi="Aptos"/>
          <w:b/>
        </w:rPr>
        <w:t xml:space="preserve">AI role: </w:t>
      </w:r>
      <w:r>
        <w:rPr>
          <w:rFonts w:ascii="Aptos" w:hAnsi="Aptos"/>
        </w:rPr>
        <w:t>interpretation of unfamiliar syntax only; never direct final compliance judgment.</w:t>
      </w:r>
    </w:p>
    <w:p>
      <w:pPr>
        <w:pStyle w:val="ListBullet"/>
        <w:spacing w:after="50"/>
        <w:ind w:left="288"/>
      </w:pPr>
      <w:r>
        <w:rPr>
          <w:rFonts w:ascii="Aptos" w:hAnsi="Aptos"/>
          <w:b/>
        </w:rPr>
        <w:t xml:space="preserve">Conflict handling: </w:t>
      </w:r>
      <w:r>
        <w:rPr>
          <w:rFonts w:ascii="Aptos" w:hAnsi="Aptos"/>
        </w:rPr>
        <w:t>conflicting evidence or missing context lowers the state to INCONCLUSIVE.</w:t>
      </w:r>
    </w:p>
    <w:p>
      <w:pPr>
        <w:pStyle w:val="ListBullet"/>
        <w:spacing w:after="50"/>
        <w:ind w:left="288"/>
      </w:pPr>
      <w:r>
        <w:rPr>
          <w:rFonts w:ascii="Aptos" w:hAnsi="Aptos"/>
          <w:b/>
        </w:rPr>
        <w:t xml:space="preserve">Confidence: </w:t>
      </w:r>
      <w:r>
        <w:rPr>
          <w:rFonts w:ascii="Aptos" w:hAnsi="Aptos"/>
        </w:rPr>
        <w:t>store separately from compliance status so a high-confidence failure is not confused with a model score.</w:t>
      </w:r>
    </w:p>
    <w:p>
      <w:pPr>
        <w:pStyle w:val="Heading1"/>
      </w:pPr>
      <w:r>
        <w:t>13. Semantic Diff Engine</w:t>
      </w:r>
    </w:p>
    <w:p>
      <w:r>
        <w:t>Convert both configurations into security-property sets, then compare states rather than raw text.</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592"/>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Diff type</w:t>
            </w:r>
          </w:p>
        </w:tc>
        <w:tc>
          <w:tcPr>
            <w:tcW w:type="dxa" w:w="6480"/>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Meaning</w:t>
            </w:r>
          </w:p>
        </w:tc>
      </w:tr>
      <w:tr>
        <w:tc>
          <w:tcPr>
            <w:tcW w:type="dxa" w:w="259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Added property</w:t>
            </w:r>
          </w:p>
        </w:tc>
        <w:tc>
          <w:tcPr>
            <w:tcW w:type="dxa" w:w="648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New security behavior appeared</w:t>
            </w:r>
          </w:p>
        </w:tc>
      </w:tr>
      <w:tr>
        <w:tc>
          <w:tcPr>
            <w:tcW w:type="dxa" w:w="259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Removed property</w:t>
            </w:r>
          </w:p>
        </w:tc>
        <w:tc>
          <w:tcPr>
            <w:tcW w:type="dxa" w:w="6480"/>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Security behavior disappeared</w:t>
            </w:r>
          </w:p>
        </w:tc>
      </w:tr>
      <w:tr>
        <w:tc>
          <w:tcPr>
            <w:tcW w:type="dxa" w:w="259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State change</w:t>
            </w:r>
          </w:p>
        </w:tc>
        <w:tc>
          <w:tcPr>
            <w:tcW w:type="dxa" w:w="648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Same property changed state, e.g. RESTRICTED → UNRESTRICTED</w:t>
            </w:r>
          </w:p>
        </w:tc>
      </w:tr>
      <w:tr>
        <w:tc>
          <w:tcPr>
            <w:tcW w:type="dxa" w:w="259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Evidence-only change</w:t>
            </w:r>
          </w:p>
        </w:tc>
        <w:tc>
          <w:tcPr>
            <w:tcW w:type="dxa" w:w="6480"/>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Raw configuration changed but normalized security meaning did not</w:t>
            </w:r>
          </w:p>
        </w:tc>
      </w:tr>
      <w:tr>
        <w:tc>
          <w:tcPr>
            <w:tcW w:type="dxa" w:w="259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Unknown change</w:t>
            </w:r>
          </w:p>
        </w:tc>
        <w:tc>
          <w:tcPr>
            <w:tcW w:type="dxa" w:w="648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New syntax prevents a reliable semantic conclusion</w:t>
            </w:r>
          </w:p>
        </w:tc>
      </w:tr>
    </w:tbl>
    <w:p>
      <w:pPr>
        <w:spacing w:after="0"/>
      </w:pPr>
    </w:p>
    <w:p>
      <w:pPr>
        <w:pStyle w:val="Heading1"/>
      </w:pPr>
      <w:r>
        <w:t>14. Counterfactual Security Simulator</w:t>
      </w:r>
    </w:p>
    <w:p>
      <w:r>
        <w:t>The simulator must be dry-run by default. It takes the current normalized state and a structured remediation proposal, then predicts the resulting property state and compliance delta.</w:t>
      </w:r>
    </w:p>
    <w:p>
      <w:pPr>
        <w:pStyle w:val="CodeBlock"/>
        <w:keepLines/>
      </w:pPr>
      <w:r>
        <w:rPr>
          <w:rFonts w:ascii="Consolas" w:hAnsi="Consolas"/>
          <w:sz w:val="16"/>
        </w:rPr>
        <w:t>Current state</w:t>
        <w:br/>
      </w:r>
      <w:r>
        <w:rPr>
          <w:rFonts w:ascii="Consolas" w:hAnsi="Consolas"/>
          <w:sz w:val="16"/>
        </w:rPr>
        <w:t xml:space="preserve">  management.protocol = UNRESTRICTED</w:t>
        <w:br/>
      </w:r>
      <w:r>
        <w:rPr>
          <w:rFonts w:ascii="Consolas" w:hAnsi="Consolas"/>
          <w:sz w:val="16"/>
        </w:rPr>
        <w:br/>
      </w:r>
      <w:r>
        <w:rPr>
          <w:rFonts w:ascii="Consolas" w:hAnsi="Consolas"/>
          <w:sz w:val="16"/>
        </w:rPr>
        <w:t>Proposed action</w:t>
        <w:br/>
      </w:r>
      <w:r>
        <w:rPr>
          <w:rFonts w:ascii="Consolas" w:hAnsi="Consolas"/>
          <w:sz w:val="16"/>
        </w:rPr>
        <w:t xml:space="preserve">  enforce SSH-only management</w:t>
        <w:br/>
      </w:r>
      <w:r>
        <w:rPr>
          <w:rFonts w:ascii="Consolas" w:hAnsi="Consolas"/>
          <w:sz w:val="16"/>
        </w:rPr>
        <w:br/>
      </w:r>
      <w:r>
        <w:rPr>
          <w:rFonts w:ascii="Consolas" w:hAnsi="Consolas"/>
          <w:sz w:val="16"/>
        </w:rPr>
        <w:t>Predicted state</w:t>
        <w:br/>
      </w:r>
      <w:r>
        <w:rPr>
          <w:rFonts w:ascii="Consolas" w:hAnsi="Consolas"/>
          <w:sz w:val="16"/>
        </w:rPr>
        <w:t xml:space="preserve">  management.protocol = SSH_ONLY</w:t>
        <w:br/>
      </w:r>
      <w:r>
        <w:rPr>
          <w:rFonts w:ascii="Consolas" w:hAnsi="Consolas"/>
          <w:sz w:val="16"/>
        </w:rPr>
        <w:br/>
      </w:r>
      <w:r>
        <w:rPr>
          <w:rFonts w:ascii="Consolas" w:hAnsi="Consolas"/>
          <w:sz w:val="16"/>
        </w:rPr>
        <w:t>Predicted impact</w:t>
        <w:br/>
      </w:r>
      <w:r>
        <w:rPr>
          <w:rFonts w:ascii="Consolas" w:hAnsi="Consolas"/>
          <w:sz w:val="16"/>
        </w:rPr>
        <w:t xml:space="preserve">  Control MGMT-01: FAIL → PASS</w:t>
        <w:br/>
      </w:r>
      <w:r>
        <w:rPr>
          <w:rFonts w:ascii="Consolas" w:hAnsi="Consolas"/>
          <w:sz w:val="16"/>
        </w:rPr>
        <w:t xml:space="preserve">  Evidence: simulated from proposed property delta</w:t>
        <w:br/>
      </w:r>
      <w:r>
        <w:rPr>
          <w:rFonts w:ascii="Consolas" w:hAnsi="Consolas"/>
          <w:sz w:val="16"/>
        </w:rPr>
        <w:t xml:space="preserve">  Device change: NOT APPLIED</w:t>
        <w:br/>
      </w:r>
    </w:p>
    <w:p>
      <w:r>
        <w:t>Do not claim that simulation proves production success. It is a configuration-state prediction for the implemented model, not a full network verification engine.</w:t>
      </w:r>
    </w:p>
    <w:p>
      <w:pPr>
        <w:pStyle w:val="Heading1"/>
      </w:pPr>
      <w:r>
        <w:t>15. REST API Contract</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936"/>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Method</w:t>
            </w:r>
          </w:p>
        </w:tc>
        <w:tc>
          <w:tcPr>
            <w:tcW w:type="dxa" w:w="3744"/>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Endpoint</w:t>
            </w:r>
          </w:p>
        </w:tc>
        <w:tc>
          <w:tcPr>
            <w:tcW w:type="dxa" w:w="4392"/>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Purpose</w:t>
            </w:r>
          </w:p>
        </w:tc>
      </w:tr>
      <w:tr>
        <w:tc>
          <w:tcPr>
            <w:tcW w:type="dxa" w:w="936"/>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POST</w:t>
            </w:r>
          </w:p>
        </w:tc>
        <w:tc>
          <w:tcPr>
            <w:tcW w:type="dxa" w:w="3744"/>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/api/audits/upload</w:t>
            </w:r>
          </w:p>
        </w:tc>
        <w:tc>
          <w:tcPr>
            <w:tcW w:type="dxa" w:w="439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Upload config files and create audit job</w:t>
            </w:r>
          </w:p>
        </w:tc>
      </w:tr>
      <w:tr>
        <w:tc>
          <w:tcPr>
            <w:tcW w:type="dxa" w:w="936"/>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GET</w:t>
            </w:r>
          </w:p>
        </w:tc>
        <w:tc>
          <w:tcPr>
            <w:tcW w:type="dxa" w:w="3744"/>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/api/audits/{id}</w:t>
            </w:r>
          </w:p>
        </w:tc>
        <w:tc>
          <w:tcPr>
            <w:tcW w:type="dxa" w:w="439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Audit summary and status</w:t>
            </w:r>
          </w:p>
        </w:tc>
      </w:tr>
      <w:tr>
        <w:tc>
          <w:tcPr>
            <w:tcW w:type="dxa" w:w="936"/>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GET</w:t>
            </w:r>
          </w:p>
        </w:tc>
        <w:tc>
          <w:tcPr>
            <w:tcW w:type="dxa" w:w="3744"/>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/api/audits/{id}/findings</w:t>
            </w:r>
          </w:p>
        </w:tc>
        <w:tc>
          <w:tcPr>
            <w:tcW w:type="dxa" w:w="439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Findings and evidence</w:t>
            </w:r>
          </w:p>
        </w:tc>
      </w:tr>
      <w:tr>
        <w:tc>
          <w:tcPr>
            <w:tcW w:type="dxa" w:w="936"/>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POST</w:t>
            </w:r>
          </w:p>
        </w:tc>
        <w:tc>
          <w:tcPr>
            <w:tcW w:type="dxa" w:w="3744"/>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/api/unknown/{id}/interpret</w:t>
            </w:r>
          </w:p>
        </w:tc>
        <w:tc>
          <w:tcPr>
            <w:tcW w:type="dxa" w:w="439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Run local interpretation</w:t>
            </w:r>
          </w:p>
        </w:tc>
      </w:tr>
      <w:tr>
        <w:tc>
          <w:tcPr>
            <w:tcW w:type="dxa" w:w="936"/>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POST</w:t>
            </w:r>
          </w:p>
        </w:tc>
        <w:tc>
          <w:tcPr>
            <w:tcW w:type="dxa" w:w="3744"/>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/api/mappings/{id}/review</w:t>
            </w:r>
          </w:p>
        </w:tc>
        <w:tc>
          <w:tcPr>
            <w:tcW w:type="dxa" w:w="439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Approve/reject/correct mapping</w:t>
            </w:r>
          </w:p>
        </w:tc>
      </w:tr>
      <w:tr>
        <w:tc>
          <w:tcPr>
            <w:tcW w:type="dxa" w:w="936"/>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GET</w:t>
            </w:r>
          </w:p>
        </w:tc>
        <w:tc>
          <w:tcPr>
            <w:tcW w:type="dxa" w:w="3744"/>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/api/knowledge</w:t>
            </w:r>
          </w:p>
        </w:tc>
        <w:tc>
          <w:tcPr>
            <w:tcW w:type="dxa" w:w="439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List active/revoked mappings</w:t>
            </w:r>
          </w:p>
        </w:tc>
      </w:tr>
      <w:tr>
        <w:tc>
          <w:tcPr>
            <w:tcW w:type="dxa" w:w="936"/>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POST</w:t>
            </w:r>
          </w:p>
        </w:tc>
        <w:tc>
          <w:tcPr>
            <w:tcW w:type="dxa" w:w="3744"/>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/api/knowledge/{id}/revoke</w:t>
            </w:r>
          </w:p>
        </w:tc>
        <w:tc>
          <w:tcPr>
            <w:tcW w:type="dxa" w:w="439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Revoke mapping and identify impact</w:t>
            </w:r>
          </w:p>
        </w:tc>
      </w:tr>
      <w:tr>
        <w:tc>
          <w:tcPr>
            <w:tcW w:type="dxa" w:w="936"/>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POST</w:t>
            </w:r>
          </w:p>
        </w:tc>
        <w:tc>
          <w:tcPr>
            <w:tcW w:type="dxa" w:w="3744"/>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/api/intent/compile</w:t>
            </w:r>
          </w:p>
        </w:tc>
        <w:tc>
          <w:tcPr>
            <w:tcW w:type="dxa" w:w="439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Compile bounded natural-language intent</w:t>
            </w:r>
          </w:p>
        </w:tc>
      </w:tr>
      <w:tr>
        <w:tc>
          <w:tcPr>
            <w:tcW w:type="dxa" w:w="936"/>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GET</w:t>
            </w:r>
          </w:p>
        </w:tc>
        <w:tc>
          <w:tcPr>
            <w:tcW w:type="dxa" w:w="3744"/>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/api/equivalence/{audit_id}</w:t>
            </w:r>
          </w:p>
        </w:tc>
        <w:tc>
          <w:tcPr>
            <w:tcW w:type="dxa" w:w="439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Cross-vendor equivalence graph data</w:t>
            </w:r>
          </w:p>
        </w:tc>
      </w:tr>
      <w:tr>
        <w:tc>
          <w:tcPr>
            <w:tcW w:type="dxa" w:w="936"/>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POST</w:t>
            </w:r>
          </w:p>
        </w:tc>
        <w:tc>
          <w:tcPr>
            <w:tcW w:type="dxa" w:w="3744"/>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/api/simulation</w:t>
            </w:r>
          </w:p>
        </w:tc>
        <w:tc>
          <w:tcPr>
            <w:tcW w:type="dxa" w:w="439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Run counterfactual simulation</w:t>
            </w:r>
          </w:p>
        </w:tc>
      </w:tr>
      <w:tr>
        <w:tc>
          <w:tcPr>
            <w:tcW w:type="dxa" w:w="936"/>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GET</w:t>
            </w:r>
          </w:p>
        </w:tc>
        <w:tc>
          <w:tcPr>
            <w:tcW w:type="dxa" w:w="3744"/>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/api/diff?before=&amp;after=</w:t>
            </w:r>
          </w:p>
        </w:tc>
        <w:tc>
          <w:tcPr>
            <w:tcW w:type="dxa" w:w="439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Return semantic diff</w:t>
            </w:r>
          </w:p>
        </w:tc>
      </w:tr>
      <w:tr>
        <w:tc>
          <w:tcPr>
            <w:tcW w:type="dxa" w:w="936"/>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GET</w:t>
            </w:r>
          </w:p>
        </w:tc>
        <w:tc>
          <w:tcPr>
            <w:tcW w:type="dxa" w:w="3744"/>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/api/reports/{audit_id}</w:t>
            </w:r>
          </w:p>
        </w:tc>
        <w:tc>
          <w:tcPr>
            <w:tcW w:type="dxa" w:w="439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Generate local report</w:t>
            </w:r>
          </w:p>
        </w:tc>
      </w:tr>
    </w:tbl>
    <w:p>
      <w:pPr>
        <w:spacing w:after="0"/>
      </w:pPr>
    </w:p>
    <w:p>
      <w:pPr>
        <w:pStyle w:val="Heading1"/>
      </w:pPr>
      <w:r>
        <w:t>16. Database Schema (SQLite)</w:t>
      </w:r>
    </w:p>
    <w:p>
      <w:pPr>
        <w:pStyle w:val="CodeBlock"/>
        <w:keepLines/>
      </w:pPr>
      <w:r>
        <w:rPr>
          <w:rFonts w:ascii="Consolas" w:hAnsi="Consolas"/>
          <w:sz w:val="16"/>
        </w:rPr>
        <w:t>devices(id, hostname, vendor, platform, version, source_file, created_at)</w:t>
        <w:br/>
      </w:r>
      <w:r>
        <w:rPr>
          <w:rFonts w:ascii="Consolas" w:hAnsi="Consolas"/>
          <w:sz w:val="16"/>
        </w:rPr>
        <w:t>config_fragments(id, device_id, raw_text, line_start, line_end, parser_status)</w:t>
        <w:br/>
      </w:r>
      <w:r>
        <w:rPr>
          <w:rFonts w:ascii="Consolas" w:hAnsi="Consolas"/>
          <w:sz w:val="16"/>
        </w:rPr>
        <w:t>security_properties(id, device_id, property_id, state, confidence)</w:t>
        <w:br/>
      </w:r>
      <w:r>
        <w:rPr>
          <w:rFonts w:ascii="Consolas" w:hAnsi="Consolas"/>
          <w:sz w:val="16"/>
        </w:rPr>
        <w:t>evidence(id, fragment_id, property_id, metadata_json)</w:t>
        <w:br/>
      </w:r>
      <w:r>
        <w:rPr>
          <w:rFonts w:ascii="Consolas" w:hAnsi="Consolas"/>
          <w:sz w:val="16"/>
        </w:rPr>
        <w:t>controls(id, name, predicate_json, severity, standard_refs_json)</w:t>
        <w:br/>
      </w:r>
      <w:r>
        <w:rPr>
          <w:rFonts w:ascii="Consolas" w:hAnsi="Consolas"/>
          <w:sz w:val="16"/>
        </w:rPr>
        <w:t>findings(id, audit_id, device_id, control_id, status, severity, confidence)</w:t>
        <w:br/>
      </w:r>
      <w:r>
        <w:rPr>
          <w:rFonts w:ascii="Consolas" w:hAnsi="Consolas"/>
          <w:sz w:val="16"/>
        </w:rPr>
        <w:t>policy_intents(id, natural_language, compiled_json, compiler_version)</w:t>
        <w:br/>
      </w:r>
      <w:r>
        <w:rPr>
          <w:rFonts w:ascii="Consolas" w:hAnsi="Consolas"/>
          <w:sz w:val="16"/>
        </w:rPr>
        <w:t>knowledge_mappings(id, vendor, platform, version_scope, fragment_pattern,</w:t>
        <w:br/>
      </w:r>
      <w:r>
        <w:rPr>
          <w:rFonts w:ascii="Consolas" w:hAnsi="Consolas"/>
          <w:sz w:val="16"/>
        </w:rPr>
        <w:t xml:space="preserve">                    property_id, confidence, review_status, reviewer,</w:t>
        <w:br/>
      </w:r>
      <w:r>
        <w:rPr>
          <w:rFonts w:ascii="Consolas" w:hAnsi="Consolas"/>
          <w:sz w:val="16"/>
        </w:rPr>
        <w:t xml:space="preserve">                    mapping_version, provenance_json)</w:t>
        <w:br/>
      </w:r>
      <w:r>
        <w:rPr>
          <w:rFonts w:ascii="Consolas" w:hAnsi="Consolas"/>
          <w:sz w:val="16"/>
        </w:rPr>
        <w:t>simulations(id, audit_id, proposed_change_json, predicted_delta_json)</w:t>
        <w:br/>
      </w:r>
      <w:r>
        <w:rPr>
          <w:rFonts w:ascii="Consolas" w:hAnsi="Consolas"/>
          <w:sz w:val="16"/>
        </w:rPr>
        <w:t>audits(id, created_at, input_hash, summary_json, version)</w:t>
        <w:br/>
      </w:r>
    </w:p>
    <w:p>
      <w:r>
        <w:t>Use JSON columns only for small flexible metadata. Keep primary relationships and queryable fields normalized so the demo remains easy to inspect and debug.</w:t>
      </w:r>
    </w:p>
    <w:p>
      <w:pPr>
        <w:pStyle w:val="Heading1"/>
      </w:pPr>
      <w:r>
        <w:t>17. Security Requirements</w:t>
      </w:r>
    </w:p>
    <w:p>
      <w:pPr>
        <w:pStyle w:val="ListBullet"/>
        <w:spacing w:after="50"/>
        <w:ind w:left="288"/>
      </w:pPr>
      <w:r>
        <w:rPr>
          <w:rFonts w:ascii="Aptos" w:hAnsi="Aptos"/>
          <w:b/>
        </w:rPr>
        <w:t xml:space="preserve">Upload isolation: </w:t>
      </w:r>
      <w:r>
        <w:rPr>
          <w:rFonts w:ascii="Aptos" w:hAnsi="Aptos"/>
        </w:rPr>
        <w:t>Store uploads under a controlled local directory; reject path traversal and dangerous file names.</w:t>
      </w:r>
    </w:p>
    <w:p>
      <w:pPr>
        <w:pStyle w:val="ListBullet"/>
        <w:spacing w:after="50"/>
        <w:ind w:left="288"/>
      </w:pPr>
      <w:r>
        <w:rPr>
          <w:rFonts w:ascii="Aptos" w:hAnsi="Aptos"/>
          <w:b/>
        </w:rPr>
        <w:t xml:space="preserve">No code execution from configs: </w:t>
      </w:r>
      <w:r>
        <w:rPr>
          <w:rFonts w:ascii="Aptos" w:hAnsi="Aptos"/>
        </w:rPr>
        <w:t>Treat configuration files strictly as text.</w:t>
      </w:r>
    </w:p>
    <w:p>
      <w:pPr>
        <w:pStyle w:val="ListBullet"/>
        <w:spacing w:after="50"/>
        <w:ind w:left="288"/>
      </w:pPr>
      <w:r>
        <w:rPr>
          <w:rFonts w:ascii="Aptos" w:hAnsi="Aptos"/>
          <w:b/>
        </w:rPr>
        <w:t xml:space="preserve">Hashing: </w:t>
      </w:r>
      <w:r>
        <w:rPr>
          <w:rFonts w:ascii="Aptos" w:hAnsi="Aptos"/>
        </w:rPr>
        <w:t>Hash inputs for audit identity and reproducibility.</w:t>
      </w:r>
    </w:p>
    <w:p>
      <w:pPr>
        <w:pStyle w:val="ListBullet"/>
        <w:spacing w:after="50"/>
        <w:ind w:left="288"/>
      </w:pPr>
      <w:r>
        <w:rPr>
          <w:rFonts w:ascii="Aptos" w:hAnsi="Aptos"/>
          <w:b/>
        </w:rPr>
        <w:t xml:space="preserve">Parser sandboxing: </w:t>
      </w:r>
      <w:r>
        <w:rPr>
          <w:rFonts w:ascii="Aptos" w:hAnsi="Aptos"/>
        </w:rPr>
        <w:t>Catch parser exceptions per file/device so one malformed config does not terminate the audit.</w:t>
      </w:r>
    </w:p>
    <w:p>
      <w:pPr>
        <w:pStyle w:val="ListBullet"/>
        <w:spacing w:after="50"/>
        <w:ind w:left="288"/>
      </w:pPr>
      <w:r>
        <w:rPr>
          <w:rFonts w:ascii="Aptos" w:hAnsi="Aptos"/>
          <w:b/>
        </w:rPr>
        <w:t xml:space="preserve">Fail-closed AI: </w:t>
      </w:r>
      <w:r>
        <w:rPr>
          <w:rFonts w:ascii="Aptos" w:hAnsi="Aptos"/>
        </w:rPr>
        <w:t>Low-confidence or contradictory AI output is INCONCLUSIVE.</w:t>
      </w:r>
    </w:p>
    <w:p>
      <w:pPr>
        <w:pStyle w:val="ListBullet"/>
        <w:spacing w:after="50"/>
        <w:ind w:left="288"/>
      </w:pPr>
      <w:r>
        <w:rPr>
          <w:rFonts w:ascii="Aptos" w:hAnsi="Aptos"/>
          <w:b/>
        </w:rPr>
        <w:t xml:space="preserve">Change safety: </w:t>
      </w:r>
      <w:r>
        <w:rPr>
          <w:rFonts w:ascii="Aptos" w:hAnsi="Aptos"/>
        </w:rPr>
        <w:t>Simulation is default; applying a live change is disabled in the base demo or requires an explicit approval step.</w:t>
      </w:r>
    </w:p>
    <w:p>
      <w:pPr>
        <w:pStyle w:val="ListBullet"/>
        <w:spacing w:after="50"/>
        <w:ind w:left="288"/>
      </w:pPr>
      <w:r>
        <w:rPr>
          <w:rFonts w:ascii="Aptos" w:hAnsi="Aptos"/>
          <w:b/>
        </w:rPr>
        <w:t xml:space="preserve">Local data: </w:t>
      </w:r>
      <w:r>
        <w:rPr>
          <w:rFonts w:ascii="Aptos" w:hAnsi="Aptos"/>
        </w:rPr>
        <w:t>No mandatory external network calls during audit execution.</w:t>
      </w:r>
    </w:p>
    <w:p>
      <w:pPr>
        <w:pStyle w:val="Heading1"/>
      </w:pPr>
      <w:r>
        <w:t>18. Testing Strategy</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304"/>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Test layer</w:t>
            </w:r>
          </w:p>
        </w:tc>
        <w:tc>
          <w:tcPr>
            <w:tcW w:type="dxa" w:w="6768"/>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What to verify</w:t>
            </w:r>
          </w:p>
        </w:tc>
      </w:tr>
      <w:tr>
        <w:tc>
          <w:tcPr>
            <w:tcW w:type="dxa" w:w="2304"/>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Parser unit tests</w:t>
            </w:r>
          </w:p>
        </w:tc>
        <w:tc>
          <w:tcPr>
            <w:tcW w:type="dxa" w:w="6768"/>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Known commands produce exact expected properties and evidence lines</w:t>
            </w:r>
          </w:p>
        </w:tc>
      </w:tr>
      <w:tr>
        <w:tc>
          <w:tcPr>
            <w:tcW w:type="dxa" w:w="2304"/>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Unknown-syntax tests</w:t>
            </w:r>
          </w:p>
        </w:tc>
        <w:tc>
          <w:tcPr>
            <w:tcW w:type="dxa" w:w="6768"/>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Unrecognized inputs appear in unknown queue, not silently ignored</w:t>
            </w:r>
          </w:p>
        </w:tc>
      </w:tr>
      <w:tr>
        <w:tc>
          <w:tcPr>
            <w:tcW w:type="dxa" w:w="2304"/>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ML tests</w:t>
            </w:r>
          </w:p>
        </w:tc>
        <w:tc>
          <w:tcPr>
            <w:tcW w:type="dxa" w:w="6768"/>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Holdout examples measure classification quality; threshold behavior is tested</w:t>
            </w:r>
          </w:p>
        </w:tc>
      </w:tr>
      <w:tr>
        <w:tc>
          <w:tcPr>
            <w:tcW w:type="dxa" w:w="2304"/>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Compliance tests</w:t>
            </w:r>
          </w:p>
        </w:tc>
        <w:tc>
          <w:tcPr>
            <w:tcW w:type="dxa" w:w="6768"/>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Each control has PASS, FAIL and INCONCLUSIVE fixtures where meaningful</w:t>
            </w:r>
          </w:p>
        </w:tc>
      </w:tr>
      <w:tr>
        <w:tc>
          <w:tcPr>
            <w:tcW w:type="dxa" w:w="2304"/>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Cross-vendor tests</w:t>
            </w:r>
          </w:p>
        </w:tc>
        <w:tc>
          <w:tcPr>
            <w:tcW w:type="dxa" w:w="6768"/>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Different vendor fragments map to the same canonical property</w:t>
            </w:r>
          </w:p>
        </w:tc>
      </w:tr>
      <w:tr>
        <w:tc>
          <w:tcPr>
            <w:tcW w:type="dxa" w:w="2304"/>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Diff tests</w:t>
            </w:r>
          </w:p>
        </w:tc>
        <w:tc>
          <w:tcPr>
            <w:tcW w:type="dxa" w:w="6768"/>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Raw text changes with unchanged semantics are correctly classified</w:t>
            </w:r>
          </w:p>
        </w:tc>
      </w:tr>
      <w:tr>
        <w:tc>
          <w:tcPr>
            <w:tcW w:type="dxa" w:w="2304"/>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Simulation tests</w:t>
            </w:r>
          </w:p>
        </w:tc>
        <w:tc>
          <w:tcPr>
            <w:tcW w:type="dxa" w:w="6768"/>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Proposed changes alter predicted state only, never source config</w:t>
            </w:r>
          </w:p>
        </w:tc>
      </w:tr>
      <w:tr>
        <w:tc>
          <w:tcPr>
            <w:tcW w:type="dxa" w:w="2304"/>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Reversal tests</w:t>
            </w:r>
          </w:p>
        </w:tc>
        <w:tc>
          <w:tcPr>
            <w:tcW w:type="dxa" w:w="6768"/>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Revocation identifies dependent findings/audits</w:t>
            </w:r>
          </w:p>
        </w:tc>
      </w:tr>
      <w:tr>
        <w:tc>
          <w:tcPr>
            <w:tcW w:type="dxa" w:w="2304"/>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Offline test</w:t>
            </w:r>
          </w:p>
        </w:tc>
        <w:tc>
          <w:tcPr>
            <w:tcW w:type="dxa" w:w="6768"/>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Disconnect network and execute full audit path</w:t>
            </w:r>
          </w:p>
        </w:tc>
      </w:tr>
    </w:tbl>
    <w:p>
      <w:pPr>
        <w:spacing w:after="0"/>
      </w:pPr>
    </w:p>
    <w:p>
      <w:pPr>
        <w:pStyle w:val="Heading1"/>
      </w:pPr>
      <w:r>
        <w:t>19. Evaluation Dataset and Demo Data</w:t>
      </w:r>
    </w:p>
    <w:p>
      <w:r>
        <w:t>Use repository-owned sample configurations so the demo is reproducible and safe. The dataset should contain clean examples, policy violations, contradictory/incomplete examples, and unfamiliar syntax samples.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168"/>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Dataset split</w:t>
            </w:r>
          </w:p>
        </w:tc>
        <w:tc>
          <w:tcPr>
            <w:tcW w:type="dxa" w:w="5904"/>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Purpose</w:t>
            </w:r>
          </w:p>
        </w:tc>
      </w:tr>
      <w:tr>
        <w:tc>
          <w:tcPr>
            <w:tcW w:type="dxa" w:w="3168"/>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Known syntax</w:t>
            </w:r>
          </w:p>
        </w:tc>
        <w:tc>
          <w:tcPr>
            <w:tcW w:type="dxa" w:w="5904"/>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Parser and compliance regression tests</w:t>
            </w:r>
          </w:p>
        </w:tc>
      </w:tr>
      <w:tr>
        <w:tc>
          <w:tcPr>
            <w:tcW w:type="dxa" w:w="3168"/>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Unknown syntax</w:t>
            </w:r>
          </w:p>
        </w:tc>
        <w:tc>
          <w:tcPr>
            <w:tcW w:type="dxa" w:w="5904"/>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Learning-loop demonstration</w:t>
            </w:r>
          </w:p>
        </w:tc>
      </w:tr>
      <w:tr>
        <w:tc>
          <w:tcPr>
            <w:tcW w:type="dxa" w:w="3168"/>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Cross-vendor equivalents</w:t>
            </w:r>
          </w:p>
        </w:tc>
        <w:tc>
          <w:tcPr>
            <w:tcW w:type="dxa" w:w="5904"/>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Equivalence graph evaluation</w:t>
            </w:r>
          </w:p>
        </w:tc>
      </w:tr>
      <w:tr>
        <w:tc>
          <w:tcPr>
            <w:tcW w:type="dxa" w:w="3168"/>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Before/after pairs</w:t>
            </w:r>
          </w:p>
        </w:tc>
        <w:tc>
          <w:tcPr>
            <w:tcW w:type="dxa" w:w="5904"/>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Semantic diff and simulation</w:t>
            </w:r>
          </w:p>
        </w:tc>
      </w:tr>
      <w:tr>
        <w:tc>
          <w:tcPr>
            <w:tcW w:type="dxa" w:w="3168"/>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Revocation cases</w:t>
            </w:r>
          </w:p>
        </w:tc>
        <w:tc>
          <w:tcPr>
            <w:tcW w:type="dxa" w:w="5904"/>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Knowledge reversal and impact propagation</w:t>
            </w:r>
          </w:p>
        </w:tc>
      </w:tr>
    </w:tbl>
    <w:p>
      <w:pPr>
        <w:spacing w:after="0"/>
      </w:pPr>
    </w:p>
    <w:p>
      <w:r>
        <w:t>For hackathon reporting, publish simple metrics such as parser coverage on the demo corpus, unknown-fragment recall, classification accuracy on a held-out set, percentage of findings with evidence, and successful reversal impact detection.</w:t>
      </w:r>
    </w:p>
    <w:p>
      <w:pPr>
        <w:pStyle w:val="Heading1"/>
      </w:pPr>
      <w:r>
        <w:t>20. Deployment and Running</w:t>
      </w:r>
    </w:p>
    <w:p>
      <w:pPr>
        <w:pStyle w:val="CodeBlock"/>
        <w:keepLines/>
      </w:pPr>
      <w:r>
        <w:rPr>
          <w:rFonts w:ascii="Consolas" w:hAnsi="Consolas"/>
          <w:sz w:val="16"/>
        </w:rPr>
        <w:t># Backend</w:t>
        <w:br/>
      </w:r>
      <w:r>
        <w:rPr>
          <w:rFonts w:ascii="Consolas" w:hAnsi="Consolas"/>
          <w:sz w:val="16"/>
        </w:rPr>
        <w:t>python -m venv .venv</w:t>
        <w:br/>
      </w:r>
      <w:r>
        <w:rPr>
          <w:rFonts w:ascii="Consolas" w:hAnsi="Consolas"/>
          <w:sz w:val="16"/>
        </w:rPr>
        <w:t># activate environment</w:t>
        <w:br/>
      </w:r>
      <w:r>
        <w:rPr>
          <w:rFonts w:ascii="Consolas" w:hAnsi="Consolas"/>
          <w:sz w:val="16"/>
        </w:rPr>
        <w:t>pip install -r backend/requirements.txt</w:t>
        <w:br/>
      </w:r>
      <w:r>
        <w:rPr>
          <w:rFonts w:ascii="Consolas" w:hAnsi="Consolas"/>
          <w:sz w:val="16"/>
        </w:rPr>
        <w:t>uvicorn backend.main:app --reload</w:t>
        <w:br/>
      </w:r>
      <w:r>
        <w:rPr>
          <w:rFonts w:ascii="Consolas" w:hAnsi="Consolas"/>
          <w:sz w:val="16"/>
        </w:rPr>
        <w:br/>
      </w:r>
      <w:r>
        <w:rPr>
          <w:rFonts w:ascii="Consolas" w:hAnsi="Consolas"/>
          <w:sz w:val="16"/>
        </w:rPr>
        <w:t># Frontend</w:t>
        <w:br/>
      </w:r>
      <w:r>
        <w:rPr>
          <w:rFonts w:ascii="Consolas" w:hAnsi="Consolas"/>
          <w:sz w:val="16"/>
        </w:rPr>
        <w:t>cd frontend</w:t>
        <w:br/>
      </w:r>
      <w:r>
        <w:rPr>
          <w:rFonts w:ascii="Consolas" w:hAnsi="Consolas"/>
          <w:sz w:val="16"/>
        </w:rPr>
        <w:t>npm install</w:t>
        <w:br/>
      </w:r>
      <w:r>
        <w:rPr>
          <w:rFonts w:ascii="Consolas" w:hAnsi="Consolas"/>
          <w:sz w:val="16"/>
        </w:rPr>
        <w:t>npm run dev</w:t>
        <w:br/>
      </w:r>
    </w:p>
    <w:p>
      <w:r>
        <w:t>The README should provide Windows and Linux/macOS launch commands. The base demo should require only Python, Node.js and the project dependencies. No API key should be required.</w:t>
      </w:r>
    </w:p>
    <w:p>
      <w:pPr>
        <w:pStyle w:val="Heading1"/>
      </w:pPr>
      <w:r>
        <w:t>21. Performance Targets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600"/>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Operation</w:t>
            </w:r>
          </w:p>
        </w:tc>
        <w:tc>
          <w:tcPr>
            <w:tcW w:type="dxa" w:w="5472"/>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MVP target on student laptop</w:t>
            </w:r>
          </w:p>
        </w:tc>
      </w:tr>
      <w:tr>
        <w:tc>
          <w:tcPr>
            <w:tcW w:type="dxa" w:w="360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Vendor detection</w:t>
            </w:r>
          </w:p>
        </w:tc>
        <w:tc>
          <w:tcPr>
            <w:tcW w:type="dxa" w:w="547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&lt; 1 second per file</w:t>
            </w:r>
          </w:p>
        </w:tc>
      </w:tr>
      <w:tr>
        <w:tc>
          <w:tcPr>
            <w:tcW w:type="dxa" w:w="3600"/>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Deterministic parsing</w:t>
            </w:r>
          </w:p>
        </w:tc>
        <w:tc>
          <w:tcPr>
            <w:tcW w:type="dxa" w:w="547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&lt; 2 seconds per small config</w:t>
            </w:r>
          </w:p>
        </w:tc>
      </w:tr>
      <w:tr>
        <w:tc>
          <w:tcPr>
            <w:tcW w:type="dxa" w:w="360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Local ML inference</w:t>
            </w:r>
          </w:p>
        </w:tc>
        <w:tc>
          <w:tcPr>
            <w:tcW w:type="dxa" w:w="547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Near-interactive; typically &lt; 1 second for a fragment batch</w:t>
            </w:r>
          </w:p>
        </w:tc>
      </w:tr>
      <w:tr>
        <w:tc>
          <w:tcPr>
            <w:tcW w:type="dxa" w:w="3600"/>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Audit generation</w:t>
            </w:r>
          </w:p>
        </w:tc>
        <w:tc>
          <w:tcPr>
            <w:tcW w:type="dxa" w:w="547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&lt; 10 seconds for 3–10 small configs</w:t>
            </w:r>
          </w:p>
        </w:tc>
      </w:tr>
      <w:tr>
        <w:tc>
          <w:tcPr>
            <w:tcW w:type="dxa" w:w="360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Report generation</w:t>
            </w:r>
          </w:p>
        </w:tc>
        <w:tc>
          <w:tcPr>
            <w:tcW w:type="dxa" w:w="547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&lt; 5 seconds</w:t>
            </w:r>
          </w:p>
        </w:tc>
      </w:tr>
    </w:tbl>
    <w:p>
      <w:pPr>
        <w:spacing w:after="0"/>
      </w:pPr>
    </w:p>
    <w:p>
      <w:r>
        <w:t>These are engineering targets for the prototype, not production SLAs.</w:t>
      </w:r>
    </w:p>
    <w:p>
      <w:pPr>
        <w:pStyle w:val="Heading1"/>
      </w:pPr>
      <w:r>
        <w:t>22. Implementation Priorities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1152"/>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Priority</w:t>
            </w:r>
          </w:p>
        </w:tc>
        <w:tc>
          <w:tcPr>
            <w:tcW w:type="dxa" w:w="7920"/>
            <w:shd w:fill="12233F"/>
            <w:tcMar>
              <w:top w:w="80" w:type="dxa"/>
              <w:start w:w="80" w:type="dxa"/>
              <w:bottom w:w="80" w:type="dxa"/>
              <w:end w:w="80" w:type="dxa"/>
            </w:tcMar>
            <w:tcBorders>
              <w:top w:val="single" w:sz="5" w:color="12233F"/>
              <w:left w:val="single" w:sz="5" w:color="12233F"/>
              <w:bottom w:val="single" w:sz="5" w:color="12233F"/>
              <w:right w:val="single" w:sz="5" w:color="12233F"/>
            </w:tcBorders>
          </w:tcPr>
          <w:p>
            <w:pPr>
              <w:jc w:val="left"/>
            </w:pPr>
            <w:r>
              <w:rPr>
                <w:rFonts w:ascii="Aptos" w:hAnsi="Aptos"/>
                <w:b/>
                <w:color w:val="FFFFFF"/>
                <w:sz w:val="17"/>
              </w:rPr>
              <w:t>Build order</w:t>
            </w:r>
          </w:p>
        </w:tc>
      </w:tr>
      <w:tr>
        <w:tc>
          <w:tcPr>
            <w:tcW w:type="dxa" w:w="115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P0</w:t>
            </w:r>
          </w:p>
        </w:tc>
        <w:tc>
          <w:tcPr>
            <w:tcW w:type="dxa" w:w="792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Upload, vendor detection, parsing, common model, controls, evidence, PASS/FAIL/INCONCLUSIVE, report, offline</w:t>
            </w:r>
          </w:p>
        </w:tc>
      </w:tr>
      <w:tr>
        <w:tc>
          <w:tcPr>
            <w:tcW w:type="dxa" w:w="115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P1</w:t>
            </w:r>
          </w:p>
        </w:tc>
        <w:tc>
          <w:tcPr>
            <w:tcW w:type="dxa" w:w="7920"/>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Unknown syntax, local ML, confidence, human review, knowledge versions, semantic diff, equivalence, simulation, reversal</w:t>
            </w:r>
          </w:p>
        </w:tc>
      </w:tr>
      <w:tr>
        <w:tc>
          <w:tcPr>
            <w:tcW w:type="dxa" w:w="1152"/>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P2</w:t>
            </w:r>
          </w:p>
        </w:tc>
        <w:tc>
          <w:tcPr>
            <w:tcW w:type="dxa" w:w="7920"/>
            <w:tcMar>
              <w:top w:w="70" w:type="dxa"/>
              <w:start w:w="80" w:type="dxa"/>
              <w:bottom w:w="70" w:type="dxa"/>
              <w:end w:w="80" w:type="dxa"/>
            </w:tcMar>
            <w:shd w:fill="FFFFFF"/>
            <w:tcBorders>
              <w:top w:val="single" w:sz="4" w:color="D5DCE5"/>
              <w:left w:val="single" w:sz="4" w:color="D5DCE5"/>
              <w:bottom w:val="single" w:sz="4" w:color="D5DCE5"/>
              <w:right w:val="single" w:sz="4" w:color="D5DCE5"/>
            </w:tcBorders>
          </w:tcPr>
          <w:p>
            <w:pPr>
              <w:jc w:val="left"/>
            </w:pPr>
            <w:r>
              <w:rPr>
                <w:rFonts w:ascii="Aptos" w:hAnsi="Aptos"/>
                <w:sz w:val="17"/>
              </w:rPr>
              <w:t>Security graph, reachability, drift, multi-device correlation, custom policies, audit dashboard/history</w:t>
            </w:r>
          </w:p>
        </w:tc>
      </w:tr>
      <w:tr>
        <w:tc>
          <w:tcPr>
            <w:tcW w:type="dxa" w:w="1152"/>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P3</w:t>
            </w:r>
          </w:p>
        </w:tc>
        <w:tc>
          <w:tcPr>
            <w:tcW w:type="dxa" w:w="7920"/>
            <w:tcMar>
              <w:top w:w="70" w:type="dxa"/>
              <w:start w:w="80" w:type="dxa"/>
              <w:bottom w:w="70" w:type="dxa"/>
              <w:end w:w="80" w:type="dxa"/>
            </w:tcMar>
            <w:shd w:fill="F3F5F7"/>
            <w:tcBorders>
              <w:top w:val="single" w:sz="4" w:color="D5DCE5"/>
              <w:left w:val="single" w:sz="4" w:color="D5DCE5"/>
              <w:bottom w:val="single" w:sz="4" w:color="D5DCE5"/>
              <w:right w:val="single" w:sz="4" w:color="D5DCE5"/>
            </w:tcBorders>
          </w:tcPr>
          <w:p>
            <w:pPr>
              <w:jc w:val="left"/>
            </w:pPr>
            <w:r>
              <w:rPr>
                <w:rFonts w:ascii="Aptos" w:hAnsi="Aptos"/>
                <w:sz w:val="17"/>
              </w:rPr>
              <w:t>Autonomous remediation, large local LLM, exploit engine, enterprise RBAC, advanced poisoning defenses</w:t>
            </w:r>
          </w:p>
        </w:tc>
      </w:tr>
    </w:tbl>
    <w:p>
      <w:pPr>
        <w:spacing w:after="0"/>
      </w:pPr>
    </w:p>
    <w:p>
      <w:pPr>
        <w:pStyle w:val="Heading1"/>
      </w:pPr>
      <w:r>
        <w:t>23. 2-Minute Demo Architecture Story</w:t>
      </w:r>
    </w:p>
    <w:p>
      <w:pPr>
        <w:spacing w:after="50"/>
        <w:ind w:left="403" w:hanging="288"/>
      </w:pPr>
      <w:r>
        <w:rPr>
          <w:rFonts w:ascii="Aptos" w:hAnsi="Aptos"/>
          <w:b/>
        </w:rPr>
        <w:t xml:space="preserve">1.  </w:t>
      </w:r>
      <w:r>
        <w:rPr>
          <w:rFonts w:ascii="Aptos" w:hAnsi="Aptos"/>
        </w:rPr>
        <w:t>Three vendor files enter the same ingestion pipeline.</w:t>
      </w:r>
    </w:p>
    <w:p>
      <w:pPr>
        <w:spacing w:after="50"/>
        <w:ind w:left="403" w:hanging="288"/>
      </w:pPr>
      <w:r>
        <w:rPr>
          <w:rFonts w:ascii="Aptos" w:hAnsi="Aptos"/>
          <w:b/>
        </w:rPr>
        <w:t xml:space="preserve">2.  </w:t>
      </w:r>
      <w:r>
        <w:rPr>
          <w:rFonts w:ascii="Aptos" w:hAnsi="Aptos"/>
        </w:rPr>
        <w:t>Each parser emits the same vendor-neutral properties.</w:t>
      </w:r>
    </w:p>
    <w:p>
      <w:pPr>
        <w:spacing w:after="50"/>
        <w:ind w:left="403" w:hanging="288"/>
      </w:pPr>
      <w:r>
        <w:rPr>
          <w:rFonts w:ascii="Aptos" w:hAnsi="Aptos"/>
          <w:b/>
        </w:rPr>
        <w:t xml:space="preserve">3.  </w:t>
      </w:r>
      <w:r>
        <w:rPr>
          <w:rFonts w:ascii="Aptos" w:hAnsi="Aptos"/>
        </w:rPr>
        <w:t>The control engine evaluates those properties with evidence.</w:t>
      </w:r>
    </w:p>
    <w:p>
      <w:pPr>
        <w:spacing w:after="50"/>
        <w:ind w:left="403" w:hanging="288"/>
      </w:pPr>
      <w:r>
        <w:rPr>
          <w:rFonts w:ascii="Aptos" w:hAnsi="Aptos"/>
          <w:b/>
        </w:rPr>
        <w:t xml:space="preserve">4.  </w:t>
      </w:r>
      <w:r>
        <w:rPr>
          <w:rFonts w:ascii="Aptos" w:hAnsi="Aptos"/>
        </w:rPr>
        <w:t>An unfamiliar syntax triggers local AI rather than silent omission.</w:t>
      </w:r>
    </w:p>
    <w:p>
      <w:pPr>
        <w:spacing w:after="50"/>
        <w:ind w:left="403" w:hanging="288"/>
      </w:pPr>
      <w:r>
        <w:rPr>
          <w:rFonts w:ascii="Aptos" w:hAnsi="Aptos"/>
          <w:b/>
        </w:rPr>
        <w:t xml:space="preserve">5.  </w:t>
      </w:r>
      <w:r>
        <w:rPr>
          <w:rFonts w:ascii="Aptos" w:hAnsi="Aptos"/>
        </w:rPr>
        <w:t>Uncertainty produces INCONCLUSIVE and a human review screen.</w:t>
      </w:r>
    </w:p>
    <w:p>
      <w:pPr>
        <w:spacing w:after="50"/>
        <w:ind w:left="403" w:hanging="288"/>
      </w:pPr>
      <w:r>
        <w:rPr>
          <w:rFonts w:ascii="Aptos" w:hAnsi="Aptos"/>
          <w:b/>
        </w:rPr>
        <w:t xml:space="preserve">6.  </w:t>
      </w:r>
      <w:r>
        <w:rPr>
          <w:rFonts w:ascii="Aptos" w:hAnsi="Aptos"/>
        </w:rPr>
        <w:t>The approved interpretation becomes versioned knowledge.</w:t>
      </w:r>
    </w:p>
    <w:p>
      <w:pPr>
        <w:spacing w:after="50"/>
        <w:ind w:left="403" w:hanging="288"/>
      </w:pPr>
      <w:r>
        <w:rPr>
          <w:rFonts w:ascii="Aptos" w:hAnsi="Aptos"/>
          <w:b/>
        </w:rPr>
        <w:t xml:space="preserve">7.  </w:t>
      </w:r>
      <w:r>
        <w:rPr>
          <w:rFonts w:ascii="Aptos" w:hAnsi="Aptos"/>
        </w:rPr>
        <w:t>The same security intent is evaluated across vendor implementations.</w:t>
      </w:r>
    </w:p>
    <w:p>
      <w:pPr>
        <w:spacing w:after="50"/>
        <w:ind w:left="403" w:hanging="288"/>
      </w:pPr>
      <w:r>
        <w:rPr>
          <w:rFonts w:ascii="Aptos" w:hAnsi="Aptos"/>
          <w:b/>
        </w:rPr>
        <w:t xml:space="preserve">8.  </w:t>
      </w:r>
      <w:r>
        <w:rPr>
          <w:rFonts w:ascii="Aptos" w:hAnsi="Aptos"/>
        </w:rPr>
        <w:t>Semantic diff explains a security change across vendor syntax.</w:t>
      </w:r>
    </w:p>
    <w:p>
      <w:pPr>
        <w:spacing w:after="50"/>
        <w:ind w:left="403" w:hanging="288"/>
      </w:pPr>
      <w:r>
        <w:rPr>
          <w:rFonts w:ascii="Aptos" w:hAnsi="Aptos"/>
          <w:b/>
        </w:rPr>
        <w:t xml:space="preserve">9.  </w:t>
      </w:r>
      <w:r>
        <w:rPr>
          <w:rFonts w:ascii="Aptos" w:hAnsi="Aptos"/>
        </w:rPr>
        <w:t>Counterfactual simulation previews a remediation outcome.</w:t>
      </w:r>
    </w:p>
    <w:p>
      <w:pPr>
        <w:spacing w:after="50"/>
        <w:ind w:left="403" w:hanging="288"/>
      </w:pPr>
      <w:r>
        <w:rPr>
          <w:rFonts w:ascii="Aptos" w:hAnsi="Aptos"/>
          <w:b/>
        </w:rPr>
        <w:t xml:space="preserve">10.  </w:t>
      </w:r>
      <w:r>
        <w:rPr>
          <w:rFonts w:ascii="Aptos" w:hAnsi="Aptos"/>
        </w:rPr>
        <w:t>Approval, re-audit and knowledge reversal demonstrate governance.</w:t>
      </w:r>
    </w:p>
    <w:p>
      <w:pPr>
        <w:pStyle w:val="Heading1"/>
      </w:pPr>
      <w:r>
        <w:t>24. Technical Definition of Done</w:t>
      </w:r>
    </w:p>
    <w:p>
      <w:pPr>
        <w:pStyle w:val="ListBullet"/>
        <w:spacing w:after="50"/>
        <w:ind w:left="288"/>
      </w:pPr>
      <w:r>
        <w:rPr>
          <w:rFonts w:ascii="Aptos" w:hAnsi="Aptos"/>
        </w:rPr>
        <w:t>All P0 requirements pass automated or demonstrable tests.</w:t>
      </w:r>
    </w:p>
    <w:p>
      <w:pPr>
        <w:pStyle w:val="ListBullet"/>
        <w:spacing w:after="50"/>
        <w:ind w:left="288"/>
      </w:pPr>
      <w:r>
        <w:rPr>
          <w:rFonts w:ascii="Aptos" w:hAnsi="Aptos"/>
        </w:rPr>
        <w:t>The five differentiating features are integrated into one end-to-end path rather than isolated mock screens.</w:t>
      </w:r>
    </w:p>
    <w:p>
      <w:pPr>
        <w:pStyle w:val="ListBullet"/>
        <w:spacing w:after="50"/>
        <w:ind w:left="288"/>
      </w:pPr>
      <w:r>
        <w:rPr>
          <w:rFonts w:ascii="Aptos" w:hAnsi="Aptos"/>
        </w:rPr>
        <w:t>No paid API, license or mandatory cloud service is required.</w:t>
      </w:r>
    </w:p>
    <w:p>
      <w:pPr>
        <w:pStyle w:val="ListBullet"/>
        <w:spacing w:after="50"/>
        <w:ind w:left="288"/>
      </w:pPr>
      <w:r>
        <w:rPr>
          <w:rFonts w:ascii="Aptos" w:hAnsi="Aptos"/>
        </w:rPr>
        <w:t>Every AI-assisted finding exposes confidence and exact evidence.</w:t>
      </w:r>
    </w:p>
    <w:p>
      <w:pPr>
        <w:pStyle w:val="ListBullet"/>
        <w:spacing w:after="50"/>
        <w:ind w:left="288"/>
      </w:pPr>
      <w:r>
        <w:rPr>
          <w:rFonts w:ascii="Aptos" w:hAnsi="Aptos"/>
        </w:rPr>
        <w:t>Every learned mapping records provenance and can be revoked without deleting history.</w:t>
      </w:r>
    </w:p>
    <w:p>
      <w:pPr>
        <w:pStyle w:val="ListBullet"/>
        <w:spacing w:after="50"/>
        <w:ind w:left="288"/>
      </w:pPr>
      <w:r>
        <w:rPr>
          <w:rFonts w:ascii="Aptos" w:hAnsi="Aptos"/>
        </w:rPr>
        <w:t>The complete audit path works offline on the team laptop.</w:t>
      </w:r>
    </w:p>
    <w:p>
      <w:pPr>
        <w:pStyle w:val="ListBullet"/>
        <w:spacing w:after="50"/>
        <w:ind w:left="288"/>
      </w:pPr>
      <w:r>
        <w:rPr>
          <w:rFonts w:ascii="Aptos" w:hAnsi="Aptos"/>
        </w:rPr>
        <w:t>The project can be understood and started from the README by a new developer.</w:t>
      </w:r>
    </w:p>
    <w:p>
      <w:pPr>
        <w:pStyle w:val="SmallNote"/>
      </w:pPr>
      <w:r>
        <w:t>Source basis: SIH26155 problem statement and the supplied SIH26155 feature catalogue. Technical choices are selected to preserve the catalogue's offline, deterministic-core, human-review and versioned-knowledge requirements while keeping the MVP practical for a hackathon team.</w:t>
      </w:r>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color w:val="6B7280"/>
        <w:sz w:val="16"/>
      </w:rPr>
      <w:t xml:space="preserve">SIH26155  |  Internal Project Document  |  </w:t>
    </w: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ptos" w:hAnsi="Aptos"/>
        <w:b/>
        <w:color w:val="6B7280"/>
        <w:sz w:val="16"/>
      </w:rPr>
      <w:t>SIH26155 Technical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2233F"/>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F5EFF"/>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2233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i/>
      <w:color w:val="6B7280"/>
      <w:sz w:val="17"/>
    </w:rPr>
  </w:style>
  <w:style w:type="paragraph" w:customStyle="1" w:styleId="CodeBlock">
    <w:name w:val="Code Block"/>
    <w:pPr>
      <w:spacing w:before="80" w:after="80"/>
      <w:ind w:left="216"/>
    </w:pPr>
    <w:rPr>
      <w:rFonts w:ascii="Consolas" w:hAnsi="Consolas"/>
      <w:sz w:val="16"/>
    </w:rPr>
  </w:style>
  <w:style w:type="paragraph" w:customStyle="1" w:styleId="Callout">
    <w:name w:val="Callout"/>
    <w:pPr>
      <w:spacing w:before="100" w:after="100"/>
      <w:ind w:left="216" w:right="216"/>
    </w:pPr>
    <w:rPr>
      <w:rFonts w:ascii="Aptos" w:hAnsi="Aptos"/>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SIH26155</dc:subject>
  <dc:creator>Project Team</dc:creator>
  <cp:keywords>SIH26155, network security, compliance, multi-vendor, offline, AI, PRD, TRD</cp:keywords>
  <dc:description>generated by python-docx</dc:description>
  <cp:lastModifiedBy>Project Team</cp:lastModifiedBy>
  <cp:revision>1</cp:revision>
  <dcterms:created xsi:type="dcterms:W3CDTF">2013-12-23T23:15:00Z</dcterms:created>
  <dcterms:modified xsi:type="dcterms:W3CDTF">2013-12-23T23:15:00Z</dcterms:modified>
  <cp:category/>
</cp:coreProperties>
</file>