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SunBuild Energy Infra Pvt. Ltd.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CIN: U40106GJ2011PTC065123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BID RESPONSE
for
Tender Ref. GSPCL/SOLAR/2026/EPC-014
Design, Supply, Installation, Testing &amp; Commissioning of 5 MW Grid-Connected Solar PV Power Plant with 5-Year O&amp;M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Bidder Reference</w:t>
            </w:r>
          </w:p>
        </w:tc>
        <w:tc>
          <w:tcPr>
            <w:tcW w:type="dxa" w:w="6360"/>
            <w:vAlign w:val="center"/>
          </w:tcPr>
          <w:p>
            <w:r>
              <w:rPr>
                <w:b w:val="false"/>
                <w:bCs w:val="false"/>
              </w:rPr>
              <w:t xml:space="preserve">RESPONSE_DOC_S1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Company Name</w:t>
            </w:r>
          </w:p>
        </w:tc>
        <w:tc>
          <w:tcPr>
            <w:tcW w:type="dxa" w:w="6360"/>
            <w:vAlign w:val="center"/>
          </w:tcPr>
          <w:p>
            <w:r>
              <w:rPr>
                <w:b w:val="false"/>
                <w:bCs w:val="false"/>
              </w:rPr>
              <w:t xml:space="preserve">SunBuild Energy Infra Pvt. Ltd.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Date of Submission</w:t>
            </w:r>
          </w:p>
        </w:tc>
        <w:tc>
          <w:tcPr>
            <w:tcW w:type="dxa" w:w="6360"/>
            <w:vAlign w:val="center"/>
          </w:tcPr>
          <w:p>
            <w:r>
              <w:rPr>
                <w:b w:val="false"/>
                <w:bCs w:val="false"/>
              </w:rPr>
              <w:t xml:space="preserve">10-Mar-2026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Overall Status (as of Evaluation)</w:t>
            </w:r>
          </w:p>
        </w:tc>
        <w:tc>
          <w:tcPr>
            <w:tcW w:type="dxa" w:w="6360"/>
            <w:vAlign w:val="center"/>
          </w:tcPr>
          <w:p>
            <w:r>
              <w:rPr>
                <w:b w:val="false"/>
                <w:bCs w:val="false"/>
              </w:rPr>
              <w:t xml:space="preserve">TECHNICALLY QUALIFIED - Financial Bid Opened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1. Cover Letter &amp; Understanding of Scope</w:t>
      </w:r>
    </w:p>
    <w:p>
      <w:pPr>
        <w:spacing w:after="120"/>
      </w:pPr>
      <w:r>
        <w:t xml:space="preserve">SunBuild Energy Infra Pvt. Ltd. confirms having read and understood the complete Scope of Work, Technical Requirements, Commercial Requirements, and Terms &amp; Conditions set out in the Tender Document GSPCL/SOLAR/2026/EPC-014, and hereby submits its offer for the Design, Supply, Installation, Testing &amp; Commissioning of the 5 MW Grid-Connected Solar PV Power Plant at Village Bhachau, Kutch District, along with 5-Year Comprehensive O&amp;M, on the terms set out herein.</w:t>
      </w:r>
    </w:p>
    <w:p>
      <w:pPr>
        <w:pStyle w:val="Heading1"/>
        <w:spacing w:after="150" w:before="300"/>
      </w:pPr>
      <w:r>
        <w:t xml:space="preserve">2. Eligibility Compliance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Criteria</w:t>
            </w:r>
          </w:p>
        </w:tc>
        <w:tc>
          <w:tcPr>
            <w:tcW w:type="dxa" w:w="616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Bidder Submission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EC-1: Average Annual Turnover (last 3 FY)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₹18.4 Cr / ₹20.1 Cr / ₹21.7 Cr  |  Average: ₹20.07 Cr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EC-2: Relevant Experience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4 completed solar EPC projects: 2.5 MW (Rajkot, 2021), 3 MW (Bhuj, 2022), 2.2 MW (Surendranagar, 2023), 4 MW (Patan, 2024)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EC-4: Quality Certifications (ISO)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ISO 9001:2015 (valid to 2027), ISO 14001:2015 (valid to 2027), ISO 45001:2018 (valid to 2026) - all submitted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EC-7: EMD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₹75,00,000 Bank Guarantee, HDFC Bank, valid 200 days - CONFORMS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Overall Eligibility Determination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COMPLIANT - all criteria met</w:t>
            </w:r>
          </w:p>
        </w:tc>
      </w:tr>
    </w:tbl>
    <w:p>
      <w:pPr>
        <w:pStyle w:val="Heading1"/>
        <w:spacing w:after="150" w:before="300"/>
      </w:pPr>
      <w:r>
        <w:t xml:space="preserve">3. Technical Evaluation Summary</w:t>
      </w:r>
    </w:p>
    <w:p>
      <w:pPr>
        <w:spacing w:after="120"/>
      </w:pPr>
      <w:r>
        <w:t xml:space="preserve">Technical Score Awarded by Evaluation Committee: 82 / 100 (Qualifying threshold: 60/100)</w:t>
      </w:r>
    </w:p>
    <w:p>
      <w:pPr>
        <w:spacing w:after="120"/>
      </w:pPr>
      <w:r>
        <w:t xml:space="preserve">Strong execution methodology and manpower plan; minor deduction for less-detailed SCADA architecture description.</w:t>
      </w:r>
    </w:p>
    <w:p>
      <w:pPr>
        <w:pStyle w:val="Heading1"/>
        <w:spacing w:after="150" w:before="300"/>
      </w:pPr>
      <w:r>
        <w:t xml:space="preserve">4. Deviations from Tender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Clause / Requirement</w:t>
            </w:r>
          </w:p>
        </w:tc>
        <w:tc>
          <w:tcPr>
            <w:tcW w:type="dxa" w:w="38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Deviation Stated</w:t>
            </w:r>
          </w:p>
        </w:tc>
        <w:tc>
          <w:tcPr>
            <w:tcW w:type="dxa" w:w="296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Evaluation Committee Assessment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</w:rPr>
              <w:t xml:space="preserve">Module Warranty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</w:rPr>
              <w:t xml:space="preserve">22 years linear performance offered instead of 25 years</w:t>
            </w:r>
          </w:p>
        </w:tc>
        <w:tc>
          <w:tcPr>
            <w:tcW w:type="dxa" w:w="2960"/>
            <w:vAlign w:val="center"/>
          </w:tcPr>
          <w:p>
            <w:r>
              <w:rPr>
                <w:b w:val="false"/>
                <w:bCs w:val="false"/>
              </w:rPr>
              <w:t xml:space="preserve">Minor - recommended for waiver by Evaluation Committee subject to price/performance justification</w:t>
            </w:r>
          </w:p>
        </w:tc>
      </w:tr>
    </w:tbl>
    <w:p>
      <w:pPr>
        <w:pStyle w:val="Heading1"/>
        <w:spacing w:after="150" w:before="300"/>
      </w:pPr>
      <w:r>
        <w:t xml:space="preserve">5. Clarifications Sought &amp; Bidder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60"/>
        <w:gridCol w:w="4500"/>
      </w:tblGrid>
      <w:tr>
        <w:trPr>
          <w:tblHeader/>
        </w:trPr>
        <w:tc>
          <w:tcPr>
            <w:tcW w:type="dxa" w:w="9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Ref.</w:t>
            </w:r>
          </w:p>
        </w:tc>
        <w:tc>
          <w:tcPr>
            <w:tcW w:type="dxa" w:w="396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Clarification Sought by GSPCL</w:t>
            </w:r>
          </w:p>
        </w:tc>
        <w:tc>
          <w:tcPr>
            <w:tcW w:type="dxa" w:w="45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Bidder Response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</w:rPr>
              <w:t xml:space="preserve">CL-1</w:t>
            </w:r>
          </w:p>
        </w:tc>
        <w:tc>
          <w:tcPr>
            <w:tcW w:type="dxa" w:w="3960"/>
            <w:vAlign w:val="center"/>
          </w:tcPr>
          <w:p>
            <w:r>
              <w:rPr>
                <w:b w:val="false"/>
                <w:bCs w:val="false"/>
              </w:rPr>
              <w:t xml:space="preserve">Clarify BOS pricing discrepancy between Technical &amp; Financial Bid summary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</w:rPr>
              <w:t xml:space="preserve">Confirmed; corrected Financial Bid resubmitted with revised Total Bid Value</w:t>
            </w:r>
          </w:p>
        </w:tc>
      </w:tr>
    </w:tbl>
    <w:p>
      <w:pPr>
        <w:pStyle w:val="Heading1"/>
        <w:spacing w:after="150" w:before="300"/>
      </w:pPr>
      <w:r>
        <w:t xml:space="preserve">6. Stage-wise Bid Value</w:t>
      </w:r>
    </w:p>
    <w:p>
      <w:pPr>
        <w:pStyle w:val="Heading2"/>
        <w:spacing w:after="120" w:before="240"/>
      </w:pPr>
      <w:r>
        <w:t xml:space="preserve">Stage 1 - Initial Financial Bid (as submitted on 10-Mar-2026)</w:t>
      </w:r>
    </w:p>
    <w:p>
      <w:pPr>
        <w:spacing w:after="120"/>
      </w:pPr>
      <w:r>
        <w:t xml:space="preserve">Total Base Price: ₹18,20,00,000   |   GST @ 13.8%: ₹2,51,16,000   |   Total Bid Value: ₹20,71,16,000</w:t>
      </w:r>
    </w:p>
    <w:p>
      <w:pPr>
        <w:pStyle w:val="Heading2"/>
        <w:spacing w:after="120" w:before="240"/>
      </w:pPr>
      <w:r>
        <w:t xml:space="preserve">Stage 2 - Final / Revised Bid Value (post clarification / negotiation, if any)</w:t>
      </w:r>
    </w:p>
    <w:p>
      <w:pPr>
        <w:spacing w:after="120"/>
      </w:pPr>
      <w:r>
        <w:t xml:space="preserve">Arithmetic correction in BOS component identified during clarification round; bidder submitted revised price schedule (Ref. Letter SBE/GSPCL/2026/07 dated 15-Mar-2026).</w:t>
      </w:r>
    </w:p>
    <w:p>
      <w:pPr>
        <w:spacing w:after="120"/>
      </w:pPr>
      <w:r>
        <w:t xml:space="preserve">Final Total Base Price: ₹18,35,00,000   |   GST @ 13.8%: ₹2,53,23,000   |   Final Total Bid Value: ₹20,88,23,000</w:t>
      </w:r>
    </w:p>
    <w:p>
      <w:pPr>
        <w:pStyle w:val="Heading1"/>
        <w:spacing w:after="150" w:before="300"/>
      </w:pPr>
      <w:r>
        <w:t xml:space="preserve">7. Remarks / Evaluation Committee Notes</w:t>
      </w:r>
    </w:p>
    <w:p>
      <w:pPr>
        <w:spacing w:after="120"/>
      </w:pPr>
      <w:r>
        <w:t xml:space="preserve">Fully eligible, technically strong bid with one minor warranty deviation flagged for committee waiver consideration. Competitive pricing.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2026-09-03T06:44:13.649Z</dcterms:created>
  <dcterms:modified xsi:type="dcterms:W3CDTF">2026-09-03T06:44:13.650Z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