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Helios EPC Solutions Pvt. Ltd.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U40300GJ2009PTC057890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RESPONSE_DOC_S3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Helios EPC Solutions Pvt. Ltd.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TECHNICALLY QUALIFIED - Financial Bid Opened - Deviation Under Committee Review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Helios EPC Solutions Pvt. Ltd.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₹28.6 Cr / ₹31.2 Cr / ₹30.5 Cr  |  Average: ₹30.10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5 completed solar EPC projects including 5.5 MW (Jamnagar, 2023) and 6 MW (Banaskantha, 2024); strongest project portfolio among bidders.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9001:2015, ISO 14001:2015, ISO 45001:2018 - all valid, all submitted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₹75,00,000 Bank Guarantee, ICICI Bank, valid 180 days - CONFORMS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COMPLIANT - all criteria met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 Awarded by Evaluation Committee: 88 / 100 (Qualifying threshold: 60/100)</w:t>
      </w:r>
    </w:p>
    <w:p>
      <w:pPr>
        <w:spacing w:after="120"/>
      </w:pPr>
      <w:r>
        <w:t xml:space="preserve">Highest technical score - excellent design documentation, superior experience portfolio, robust execution schedule.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Clause / Requirement</w:t>
            </w:r>
          </w:p>
        </w:tc>
        <w:tc>
          <w:tcPr>
            <w:tcW w:type="dxa" w:w="38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Deviation Stated</w:t>
            </w:r>
          </w:p>
        </w:tc>
        <w:tc>
          <w:tcPr>
            <w:tcW w:type="dxa" w:w="2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Committee Assessment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Inverter Efficiency (TR-3)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Proposed central inverter efficiency 97.5% against required minimum 98.0%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Moderate - under review; Evaluation Committee to assess energy yield impact before waiver decision</w:t>
            </w:r>
          </w:p>
        </w:tc>
      </w:tr>
    </w:tbl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Justify inverter efficiency shortfall and its impact on guaranteed Performance Ratio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Bidder submitted PVsyst simulation claiming PR of 80.3% is still achievable; under technical review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CL-2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Confirm willingness to revise price following negotiation invitation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Confirmed; revised price schedule submitted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₹19,40,00,000   |   GST @ 13.8%: ₹2,67,72,000   |   Total Bid Value: ₹22,07,72,000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Post-technical-qualification price negotiation round conducted as per GSPCL negotiation policy (bidder within 5% of L1). Bidder revised Total Base Price downward from ₹19.40 Cr to ₹18.60 Cr vide Letter HES/2026/112 dated 18-Mar-2026.</w:t>
      </w:r>
    </w:p>
    <w:p>
      <w:pPr>
        <w:spacing w:after="120"/>
      </w:pPr>
      <w:r>
        <w:t xml:space="preserve">Final Total Base Price: ₹18,60,00,000   |   GST @ 13.8%: ₹2,56,68,000   |   Final Total Bid Value: ₹21,16,68,000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Highest technical score overall; price revised down significantly after negotiation. Inverter efficiency deviation remains open pending committee decision on waiver.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2026-09-03T06:44:13.793Z</dcterms:created>
  <dcterms:modified xsi:type="dcterms:W3CDTF">2026-09-03T06:44:13.793Z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