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Suryodaya Renewables Pvt. Ltd.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CIN: U40106GJ2013PTC073211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BID RESPONSE
for
Tender Ref. GSPCL/SOLAR/2026/EPC-014
Design, Supply, Installation, Testing &amp; Commissioning of 5 MW Grid-Connected Solar PV Power Plant with 5-Year O&amp;M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Bidder Reference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RESPONSE_DOC_S4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Company Name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Suryodaya Renewables Pvt. Ltd.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Date of Submission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10-Mar-2026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Overall Status (as of Evaluation)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CONDITIONALLY QUALIFIED - EMD shortfall rectified within cure period; Financial Bid Opened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Cover Letter &amp; Understanding of Scope</w:t>
      </w:r>
    </w:p>
    <w:p>
      <w:pPr>
        <w:spacing w:after="120"/>
      </w:pPr>
      <w:r>
        <w:t xml:space="preserve">Suryodaya Renewables Pvt. Ltd. confirms having read and understood the complete Scope of Work, Technical Requirements, Commercial Requirements, and Terms &amp; Conditions set out in the Tender Document GSPCL/SOLAR/2026/EPC-014, and hereby submits its offer for the Design, Supply, Installation, Testing &amp; Commissioning of the 5 MW Grid-Connected Solar PV Power Plant at Village Bhachau, Kutch District, along with 5-Year Comprehensive O&amp;M, on the terms set out herein.</w:t>
      </w:r>
    </w:p>
    <w:p>
      <w:pPr>
        <w:pStyle w:val="Heading1"/>
        <w:spacing w:after="150" w:before="300"/>
      </w:pPr>
      <w:r>
        <w:t xml:space="preserve">2. Eligibility Compliance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61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Submission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EC-1: Average Annual Turnover (last 3 FY)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₹15.9 Cr / ₹16.4 Cr / ₹16.3 Cr  |  Average: ₹16.20 Cr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EC-2: Relevant Experience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3 completed solar EPC projects: 2.2 MW (Junagadh, 2022), 2.5 MW (Amreli, 2023), 3.0 MW (Porbandar, 2024) - meets EC-2 on aggregate count basis.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EC-4: Quality Certifications (ISO)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ISO 9001:2015, ISO 14001:2015, ISO 45001:2018 - all valid, all submitted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EC-7: EMD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₹70,00,000 Bank Guarantee submitted, ICICI Bank, valid 180 days - SHORTFALL of ₹5,00,000 against required ₹75,00,000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Overall Eligibility Determination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CONDITIONALLY COMPLIANT - Eligibility criteria met on turnover/experience/ISO, but EMD instrument short by ₹5,00,000</w:t>
            </w:r>
          </w:p>
        </w:tc>
      </w:tr>
    </w:tbl>
    <w:p>
      <w:pPr>
        <w:pStyle w:val="Heading1"/>
        <w:spacing w:after="150" w:before="300"/>
      </w:pPr>
      <w:r>
        <w:t xml:space="preserve">3. Technical Evaluation Summary</w:t>
      </w:r>
    </w:p>
    <w:p>
      <w:pPr>
        <w:spacing w:after="120"/>
      </w:pPr>
      <w:r>
        <w:t xml:space="preserve">Technical Score Awarded by Evaluation Committee: 65 / 100 (Qualifying threshold: 60/100)</w:t>
      </w:r>
    </w:p>
    <w:p>
      <w:pPr>
        <w:spacing w:after="120"/>
      </w:pPr>
      <w:r>
        <w:t xml:space="preserve">Borderline qualifying score; adequate but not exceptional execution plan; O&amp;M staffing plan initially under-detailed.</w:t>
      </w:r>
    </w:p>
    <w:p>
      <w:pPr>
        <w:pStyle w:val="Heading1"/>
        <w:spacing w:after="150" w:before="300"/>
      </w:pPr>
      <w:r>
        <w:t xml:space="preserve">4. Deviations from Tender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Clause / Requirement</w:t>
            </w:r>
          </w:p>
        </w:tc>
        <w:tc>
          <w:tcPr>
            <w:tcW w:type="dxa" w:w="38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Deviation Stated</w:t>
            </w:r>
          </w:p>
        </w:tc>
        <w:tc>
          <w:tcPr>
            <w:tcW w:type="dxa" w:w="2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Evaluation Committee Assessment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EMD Amount (EC-7)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EMD submitted ₹70,00,000 against required ₹75,00,000 (5,00,000 shortfall)</w:t>
            </w:r>
          </w:p>
        </w:tc>
        <w:tc>
          <w:tcPr>
            <w:tcW w:type="dxa" w:w="2960"/>
            <w:vAlign w:val="center"/>
          </w:tcPr>
          <w:p>
            <w:r>
              <w:rPr>
                <w:b w:val="false"/>
                <w:bCs w:val="false"/>
              </w:rPr>
              <w:t xml:space="preserve">Major - Non-responsive per GCC unless rectified within cure period</w:t>
            </w:r>
          </w:p>
        </w:tc>
      </w:tr>
    </w:tbl>
    <w:p>
      <w:pPr>
        <w:pStyle w:val="Heading1"/>
        <w:spacing w:after="150" w:before="300"/>
      </w:pPr>
      <w:r>
        <w:t xml:space="preserve">5. Clarifications Sought &amp; Bidder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tcW w:type="dxa" w:w="3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Clarification Sought by GSPCL</w:t>
            </w:r>
          </w:p>
        </w:tc>
        <w:tc>
          <w:tcPr>
            <w:tcW w:type="dxa" w:w="45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Response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CL-1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false"/>
                <w:bCs w:val="false"/>
              </w:rPr>
              <w:t xml:space="preserve">Submit detailed O&amp;M staffing and spares-holding plan for 5-year O&amp;M period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</w:rPr>
              <w:t xml:space="preserve">Detailed plan submitted covering 12 O&amp;M personnel and spares inventory list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CL-2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false"/>
                <w:bCs w:val="false"/>
              </w:rPr>
              <w:t xml:space="preserve">Rectify EMD shortfall of ₹5,00,000 within 7-day cure period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</w:rPr>
              <w:t xml:space="preserve">Additional EMD of ₹5,00,000 submitted vide letter dated 20-Mar-2026 - rectified within cure period</w:t>
            </w:r>
          </w:p>
        </w:tc>
      </w:tr>
    </w:tbl>
    <w:p>
      <w:pPr>
        <w:pStyle w:val="Heading1"/>
        <w:spacing w:after="150" w:before="300"/>
      </w:pPr>
      <w:r>
        <w:t xml:space="preserve">6. Stage-wise Bid Value</w:t>
      </w:r>
    </w:p>
    <w:p>
      <w:pPr>
        <w:pStyle w:val="Heading2"/>
        <w:spacing w:after="120" w:before="240"/>
      </w:pPr>
      <w:r>
        <w:t xml:space="preserve">Stage 1 - Initial Financial Bid (as submitted on 10-Mar-2026)</w:t>
      </w:r>
    </w:p>
    <w:p>
      <w:pPr>
        <w:spacing w:after="120"/>
      </w:pPr>
      <w:r>
        <w:t xml:space="preserve">Total Base Price: ₹17,95,00,000   |   GST @ 13.8%: ₹2,47,71,000   |   Total Bid Value: ₹20,42,71,000</w:t>
      </w:r>
    </w:p>
    <w:p>
      <w:pPr>
        <w:pStyle w:val="Heading2"/>
        <w:spacing w:after="120" w:before="240"/>
      </w:pPr>
      <w:r>
        <w:t xml:space="preserve">Stage 2 - Final / Revised Bid Value (post clarification / negotiation, if any)</w:t>
      </w:r>
    </w:p>
    <w:p>
      <w:pPr>
        <w:spacing w:after="120"/>
      </w:pPr>
      <w:r>
        <w:t xml:space="preserve">No price revision. Bidder submitted supplementary O&amp;M staffing plan clarification only; price schedule unchanged from initial submission.</w:t>
      </w:r>
    </w:p>
    <w:p>
      <w:pPr>
        <w:spacing w:after="120"/>
      </w:pPr>
      <w:r>
        <w:t xml:space="preserve">Final Total Base Price: ₹17,95,00,000   |   GST @ 13.8%: ₹2,47,71,000   |   Final Total Bid Value: ₹20,42,71,000</w:t>
      </w:r>
    </w:p>
    <w:p>
      <w:pPr>
        <w:pStyle w:val="Heading1"/>
        <w:spacing w:after="150" w:before="300"/>
      </w:pPr>
      <w:r>
        <w:t xml:space="preserve">7. Remarks / Evaluation Committee Notes</w:t>
      </w:r>
    </w:p>
    <w:p>
      <w:pPr>
        <w:spacing w:after="120"/>
      </w:pPr>
      <w:r>
        <w:t xml:space="preserve">Initially non-responsive due to EMD shortfall; rectified in time per policy. Technical score borderline but above qualifying threshold. Moderate pricing.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2026-09-03T06:44:13.849Z</dcterms:created>
  <dcterms:modified xsi:type="dcterms:W3CDTF">2026-09-03T06:44:13.849Z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