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GUJRAAT STATE POWER CORPORATION LIMITED</w:t>
      </w:r>
    </w:p>
    <w:p>
      <w:pPr>
        <w:spacing w:after="300"/>
        <w:jc w:val="center"/>
      </w:pPr>
      <w:r>
        <w:rPr>
          <w:i/>
          <w:iCs/>
          <w:sz w:val="22"/>
          <w:szCs w:val="22"/>
        </w:rPr>
        <w:t xml:space="preserve">(A Government of Gujraat Undertaking)</w:t>
      </w:r>
    </w:p>
    <w:p>
      <w:pPr>
        <w:spacing w:after="400"/>
        <w:jc w:val="center"/>
      </w:pPr>
      <w:r>
        <w:rPr>
          <w:b/>
          <w:bCs/>
          <w:sz w:val="26"/>
          <w:szCs w:val="26"/>
        </w:rPr>
        <w:t xml:space="preserve">TENDER DOCUMENT
Design, Supply, Installation, Testing &amp; Commissioning of 5 MW Grid-Connected Solar Photovoltaic Power Plant
with 5-Year Comprehensive Operation &amp;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vAlign w:val="center"/>
          </w:tcPr>
          <w:p>
            <w:r>
              <w:rPr>
                <w:b/>
                <w:bCs/>
                <w:color w:val="FFFFFF"/>
              </w:rPr>
              <w:t xml:space="preserve">Field</w:t>
            </w:r>
          </w:p>
        </w:tc>
        <w:tc>
          <w:tcPr>
            <w:tcW w:type="dxa" w:w="6360"/>
            <w:shd w:fill="1F4E79" w:val="clear"/>
            <w:vAlign w:val="center"/>
          </w:tcPr>
          <w:p>
            <w:r>
              <w:rPr>
                <w:b/>
                <w:bCs/>
                <w:color w:val="FFFFFF"/>
              </w:rPr>
              <w:t xml:space="preserve">Details</w:t>
            </w:r>
          </w:p>
        </w:tc>
      </w:tr>
      <w:tr>
        <w:tc>
          <w:tcPr>
            <w:tcW w:type="dxa" w:w="3000"/>
            <w:vAlign w:val="center"/>
          </w:tcPr>
          <w:p>
            <w:r>
              <w:rPr>
                <w:b w:val="false"/>
                <w:bCs w:val="false"/>
              </w:rPr>
              <w:t xml:space="preserve">Tender Reference No.</w:t>
            </w:r>
          </w:p>
        </w:tc>
        <w:tc>
          <w:tcPr>
            <w:tcW w:type="dxa" w:w="6360"/>
            <w:vAlign w:val="center"/>
          </w:tcPr>
          <w:p>
            <w:r>
              <w:rPr>
                <w:b w:val="false"/>
                <w:bCs w:val="false"/>
              </w:rPr>
              <w:t xml:space="preserve">GSPCL/SOLAR/2026/EPC-014</w:t>
            </w:r>
          </w:p>
        </w:tc>
      </w:tr>
      <w:tr>
        <w:tc>
          <w:tcPr>
            <w:tcW w:type="dxa" w:w="3000"/>
            <w:vAlign w:val="center"/>
          </w:tcPr>
          <w:p>
            <w:r>
              <w:rPr>
                <w:b w:val="false"/>
                <w:bCs w:val="false"/>
              </w:rPr>
              <w:t xml:space="preserve">Issuing Authority</w:t>
            </w:r>
          </w:p>
        </w:tc>
        <w:tc>
          <w:tcPr>
            <w:tcW w:type="dxa" w:w="6360"/>
            <w:vAlign w:val="center"/>
          </w:tcPr>
          <w:p>
            <w:r>
              <w:rPr>
                <w:b w:val="false"/>
                <w:bCs w:val="false"/>
              </w:rPr>
              <w:t xml:space="preserve">Gujraat State Power Corporation Limited (GSPCL)</w:t>
            </w:r>
          </w:p>
        </w:tc>
      </w:tr>
      <w:tr>
        <w:tc>
          <w:tcPr>
            <w:tcW w:type="dxa" w:w="3000"/>
            <w:vAlign w:val="center"/>
          </w:tcPr>
          <w:p>
            <w:r>
              <w:rPr>
                <w:b w:val="false"/>
                <w:bCs w:val="false"/>
              </w:rPr>
              <w:t xml:space="preserve">Mode of Tendering</w:t>
            </w:r>
          </w:p>
        </w:tc>
        <w:tc>
          <w:tcPr>
            <w:tcW w:type="dxa" w:w="6360"/>
            <w:vAlign w:val="center"/>
          </w:tcPr>
          <w:p>
            <w:r>
              <w:rPr>
                <w:b w:val="false"/>
                <w:bCs w:val="false"/>
              </w:rPr>
              <w:t xml:space="preserve">Two-Envelope System (Technical Bid + Financial Bid), e-Procurement Portal</w:t>
            </w:r>
          </w:p>
        </w:tc>
      </w:tr>
      <w:tr>
        <w:tc>
          <w:tcPr>
            <w:tcW w:type="dxa" w:w="3000"/>
            <w:vAlign w:val="center"/>
          </w:tcPr>
          <w:p>
            <w:r>
              <w:rPr>
                <w:b w:val="false"/>
                <w:bCs w:val="false"/>
              </w:rPr>
              <w:t xml:space="preserve">Tender Fee</w:t>
            </w:r>
          </w:p>
        </w:tc>
        <w:tc>
          <w:tcPr>
            <w:tcW w:type="dxa" w:w="6360"/>
            <w:vAlign w:val="center"/>
          </w:tcPr>
          <w:p>
            <w:r>
              <w:rPr>
                <w:b w:val="false"/>
                <w:bCs w:val="false"/>
              </w:rPr>
              <w:t xml:space="preserve">₹10,000 (Non-refundable)</w:t>
            </w:r>
          </w:p>
        </w:tc>
      </w:tr>
      <w:tr>
        <w:tc>
          <w:tcPr>
            <w:tcW w:type="dxa" w:w="3000"/>
            <w:vAlign w:val="center"/>
          </w:tcPr>
          <w:p>
            <w:r>
              <w:rPr>
                <w:b w:val="false"/>
                <w:bCs w:val="false"/>
              </w:rPr>
              <w:t xml:space="preserve">Earnest Money Deposit (EMD)</w:t>
            </w:r>
          </w:p>
        </w:tc>
        <w:tc>
          <w:tcPr>
            <w:tcW w:type="dxa" w:w="6360"/>
            <w:vAlign w:val="center"/>
          </w:tcPr>
          <w:p>
            <w:r>
              <w:rPr>
                <w:b w:val="false"/>
                <w:bCs w:val="false"/>
              </w:rPr>
              <w:t xml:space="preserve">₹75,00,000 (Refundable, or 2% of quoted Bid Value, whichever is higher)</w:t>
            </w:r>
          </w:p>
        </w:tc>
      </w:tr>
      <w:tr>
        <w:tc>
          <w:tcPr>
            <w:tcW w:type="dxa" w:w="3000"/>
            <w:vAlign w:val="center"/>
          </w:tcPr>
          <w:p>
            <w:r>
              <w:rPr>
                <w:b w:val="false"/>
                <w:bCs w:val="false"/>
              </w:rPr>
              <w:t xml:space="preserve">Bid Validity</w:t>
            </w:r>
          </w:p>
        </w:tc>
        <w:tc>
          <w:tcPr>
            <w:tcW w:type="dxa" w:w="6360"/>
            <w:vAlign w:val="center"/>
          </w:tcPr>
          <w:p>
            <w:r>
              <w:rPr>
                <w:b w:val="false"/>
                <w:bCs w:val="false"/>
              </w:rPr>
              <w:t xml:space="preserve">120 days from the date of Financial Bid opening</w:t>
            </w:r>
          </w:p>
        </w:tc>
      </w:tr>
      <w:tr>
        <w:tc>
          <w:tcPr>
            <w:tcW w:type="dxa" w:w="3000"/>
            <w:vAlign w:val="center"/>
          </w:tcPr>
          <w:p>
            <w:r>
              <w:rPr>
                <w:b w:val="false"/>
                <w:bCs w:val="false"/>
              </w:rPr>
              <w:t xml:space="preserve">Date of Issue</w:t>
            </w:r>
          </w:p>
        </w:tc>
        <w:tc>
          <w:tcPr>
            <w:tcW w:type="dxa" w:w="6360"/>
            <w:vAlign w:val="center"/>
          </w:tcPr>
          <w:p>
            <w:r>
              <w:rPr>
                <w:b w:val="false"/>
                <w:bCs w:val="false"/>
              </w:rPr>
              <w:t xml:space="preserve">01-Feb-2026</w:t>
            </w:r>
          </w:p>
        </w:tc>
      </w:tr>
      <w:tr>
        <w:tc>
          <w:tcPr>
            <w:tcW w:type="dxa" w:w="3000"/>
            <w:vAlign w:val="center"/>
          </w:tcPr>
          <w:p>
            <w:r>
              <w:rPr>
                <w:b w:val="false"/>
                <w:bCs w:val="false"/>
              </w:rPr>
              <w:t xml:space="preserve">Pre-Bid Meeting</w:t>
            </w:r>
          </w:p>
        </w:tc>
        <w:tc>
          <w:tcPr>
            <w:tcW w:type="dxa" w:w="6360"/>
            <w:vAlign w:val="center"/>
          </w:tcPr>
          <w:p>
            <w:r>
              <w:rPr>
                <w:b w:val="false"/>
                <w:bCs w:val="false"/>
              </w:rPr>
              <w:t xml:space="preserve">12-Feb-2026, 11:00 AM, GSPCL Head Office, Gandhinagar</w:t>
            </w:r>
          </w:p>
        </w:tc>
      </w:tr>
      <w:tr>
        <w:tc>
          <w:tcPr>
            <w:tcW w:type="dxa" w:w="3000"/>
            <w:vAlign w:val="center"/>
          </w:tcPr>
          <w:p>
            <w:r>
              <w:rPr>
                <w:b w:val="false"/>
                <w:bCs w:val="false"/>
              </w:rPr>
              <w:t xml:space="preserve">Last Date for Submission</w:t>
            </w:r>
          </w:p>
        </w:tc>
        <w:tc>
          <w:tcPr>
            <w:tcW w:type="dxa" w:w="6360"/>
            <w:vAlign w:val="center"/>
          </w:tcPr>
          <w:p>
            <w:r>
              <w:rPr>
                <w:b w:val="false"/>
                <w:bCs w:val="false"/>
              </w:rPr>
              <w:t xml:space="preserve">10-Mar-2026, 5:00 PM (IST)</w:t>
            </w:r>
          </w:p>
        </w:tc>
      </w:tr>
      <w:tr>
        <w:tc>
          <w:tcPr>
            <w:tcW w:type="dxa" w:w="3000"/>
            <w:vAlign w:val="center"/>
          </w:tcPr>
          <w:p>
            <w:r>
              <w:rPr>
                <w:b w:val="false"/>
                <w:bCs w:val="false"/>
              </w:rPr>
              <w:t xml:space="preserve">Technical Bid Opening</w:t>
            </w:r>
          </w:p>
        </w:tc>
        <w:tc>
          <w:tcPr>
            <w:tcW w:type="dxa" w:w="6360"/>
            <w:vAlign w:val="center"/>
          </w:tcPr>
          <w:p>
            <w:r>
              <w:rPr>
                <w:b w:val="false"/>
                <w:bCs w:val="false"/>
              </w:rPr>
              <w:t xml:space="preserve">11-Mar-2026, 11:00 AM (IST)</w:t>
            </w:r>
          </w:p>
        </w:tc>
      </w:tr>
      <w:tr>
        <w:tc>
          <w:tcPr>
            <w:tcW w:type="dxa" w:w="3000"/>
            <w:vAlign w:val="center"/>
          </w:tcPr>
          <w:p>
            <w:r>
              <w:rPr>
                <w:b w:val="false"/>
                <w:bCs w:val="false"/>
              </w:rPr>
              <w:t xml:space="preserve">Financial Bid Opening</w:t>
            </w:r>
          </w:p>
        </w:tc>
        <w:tc>
          <w:tcPr>
            <w:tcW w:type="dxa" w:w="6360"/>
            <w:vAlign w:val="center"/>
          </w:tcPr>
          <w:p>
            <w:r>
              <w:rPr>
                <w:b w:val="false"/>
                <w:bCs w:val="false"/>
              </w:rPr>
              <w:t xml:space="preserve">To be intimated to technically qualified bidders only</w:t>
            </w:r>
          </w:p>
        </w:tc>
      </w:tr>
    </w:tbl>
    <w:p>
      <w:r>
        <w:br w:type="page"/>
      </w:r>
    </w:p>
    <w:p>
      <w:pPr>
        <w:pStyle w:val="Heading1"/>
        <w:spacing w:after="150" w:before="300"/>
      </w:pPr>
      <w:r>
        <w:t xml:space="preserve">1. Scope of Work</w:t>
      </w:r>
    </w:p>
    <w:p>
      <w:pPr>
        <w:spacing w:after="120"/>
      </w:pPr>
      <w:r>
        <w:t xml:space="preserve">The Contractor shall be responsible for the complete Engineering, Procurement and Construction (EPC) of a 5 MW (AC) Grid-Connected Solar Photovoltaic Power Plant, on a turnkey basis, at the designated site situated at Village Bhachau, Kutch District, Gujraat, including but not limited to:</w:t>
      </w:r>
    </w:p>
    <w:p>
      <w:pPr>
        <w:pStyle w:val="ListParagraph"/>
        <w:numPr>
          <w:ilvl w:val="0"/>
          <w:numId w:val="2"/>
        </w:numPr>
        <w:spacing w:after="60"/>
      </w:pPr>
      <w:r>
        <w:t xml:space="preserve">Site survey, geotechnical investigation, and detailed engineering design</w:t>
      </w:r>
    </w:p>
    <w:p>
      <w:pPr>
        <w:pStyle w:val="ListParagraph"/>
        <w:numPr>
          <w:ilvl w:val="0"/>
          <w:numId w:val="2"/>
        </w:numPr>
        <w:spacing w:after="60"/>
      </w:pPr>
      <w:r>
        <w:t xml:space="preserve">Supply of PV modules, inverters, mounting structures, cabling, and Balance of System (BOS) components</w:t>
      </w:r>
    </w:p>
    <w:p>
      <w:pPr>
        <w:pStyle w:val="ListParagraph"/>
        <w:numPr>
          <w:ilvl w:val="0"/>
          <w:numId w:val="2"/>
        </w:numPr>
        <w:spacing w:after="60"/>
      </w:pPr>
      <w:r>
        <w:t xml:space="preserve">Civil, structural, and electrical works including internal roads, drainage, and fencing</w:t>
      </w:r>
    </w:p>
    <w:p>
      <w:pPr>
        <w:pStyle w:val="ListParagraph"/>
        <w:numPr>
          <w:ilvl w:val="0"/>
          <w:numId w:val="2"/>
        </w:numPr>
        <w:spacing w:after="60"/>
      </w:pPr>
      <w:r>
        <w:t xml:space="preserve">Construction of 33 kV switchyard and interconnection with the State grid substation</w:t>
      </w:r>
    </w:p>
    <w:p>
      <w:pPr>
        <w:pStyle w:val="ListParagraph"/>
        <w:numPr>
          <w:ilvl w:val="0"/>
          <w:numId w:val="2"/>
        </w:numPr>
        <w:spacing w:after="60"/>
      </w:pPr>
      <w:r>
        <w:t xml:space="preserve">Installation of SCADA-based remote monitoring and weather station</w:t>
      </w:r>
    </w:p>
    <w:p>
      <w:pPr>
        <w:pStyle w:val="ListParagraph"/>
        <w:numPr>
          <w:ilvl w:val="0"/>
          <w:numId w:val="2"/>
        </w:numPr>
        <w:spacing w:after="60"/>
      </w:pPr>
      <w:r>
        <w:t xml:space="preserve">Testing, commissioning, and synchronization with the grid</w:t>
      </w:r>
    </w:p>
    <w:p>
      <w:pPr>
        <w:pStyle w:val="ListParagraph"/>
        <w:numPr>
          <w:ilvl w:val="0"/>
          <w:numId w:val="2"/>
        </w:numPr>
        <w:spacing w:after="60"/>
      </w:pPr>
      <w:r>
        <w:t xml:space="preserve">Comprehensive Operation &amp; Maintenance (O&amp;M) for a period of 5 years post-Commercial Operation Date (COD)</w:t>
      </w:r>
    </w:p>
    <w:p>
      <w:pPr>
        <w:pStyle w:val="ListParagraph"/>
        <w:numPr>
          <w:ilvl w:val="0"/>
          <w:numId w:val="2"/>
        </w:numPr>
        <w:spacing w:after="60"/>
      </w:pPr>
      <w:r>
        <w:t xml:space="preserve">Training of GSPCL personnel and handover of As-Built documentation</w:t>
      </w:r>
    </w:p>
    <w:p>
      <w:pPr>
        <w:pStyle w:val="Heading1"/>
        <w:spacing w:after="150" w:before="300"/>
      </w:pPr>
      <w:r>
        <w:t xml:space="preserve">2. Eligibility Criteria (Pre-Qualification)</w:t>
      </w:r>
    </w:p>
    <w:p>
      <w:pPr>
        <w:spacing w:after="120"/>
      </w:pPr>
      <w:r>
        <w:t xml:space="preserve">Bidders must satisfy ALL of the following criteria to be considered eligible. Non-compliance with any mandatory criterion shall render the bid liable for rejection at the eligibility screening stage, without proceeding to 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shd w:fill="1F4E79" w:val="clear"/>
            <w:vAlign w:val="center"/>
          </w:tcPr>
          <w:p>
            <w:r>
              <w:rPr>
                <w:b/>
                <w:bCs/>
                <w:color w:val="FFFFFF"/>
              </w:rPr>
              <w:t xml:space="preserve">S.No.</w:t>
            </w:r>
          </w:p>
        </w:tc>
        <w:tc>
          <w:tcPr>
            <w:tcW w:type="dxa" w:w="3200"/>
            <w:shd w:fill="1F4E79" w:val="clear"/>
            <w:vAlign w:val="center"/>
          </w:tcPr>
          <w:p>
            <w:r>
              <w:rPr>
                <w:b/>
                <w:bCs/>
                <w:color w:val="FFFFFF"/>
              </w:rPr>
              <w:t xml:space="preserve">Criteria</w:t>
            </w:r>
          </w:p>
        </w:tc>
        <w:tc>
          <w:tcPr>
            <w:tcW w:type="dxa" w:w="5160"/>
            <w:shd w:fill="1F4E79" w:val="clear"/>
            <w:vAlign w:val="center"/>
          </w:tcPr>
          <w:p>
            <w:r>
              <w:rPr>
                <w:b/>
                <w:bCs/>
                <w:color w:val="FFFFFF"/>
              </w:rPr>
              <w:t xml:space="preserve">Requirement</w:t>
            </w:r>
          </w:p>
        </w:tc>
      </w:tr>
      <w:tr>
        <w:tc>
          <w:tcPr>
            <w:tcW w:type="dxa" w:w="1000"/>
            <w:vAlign w:val="center"/>
          </w:tcPr>
          <w:p>
            <w:r>
              <w:rPr>
                <w:b w:val="false"/>
                <w:bCs w:val="false"/>
              </w:rPr>
              <w:t xml:space="preserve">EC-1</w:t>
            </w:r>
          </w:p>
        </w:tc>
        <w:tc>
          <w:tcPr>
            <w:tcW w:type="dxa" w:w="3200"/>
            <w:vAlign w:val="center"/>
          </w:tcPr>
          <w:p>
            <w:r>
              <w:rPr>
                <w:b w:val="false"/>
                <w:bCs w:val="false"/>
              </w:rPr>
              <w:t xml:space="preserve">Average Annual Turnover</w:t>
            </w:r>
          </w:p>
        </w:tc>
        <w:tc>
          <w:tcPr>
            <w:tcW w:type="dxa" w:w="5160"/>
            <w:vAlign w:val="center"/>
          </w:tcPr>
          <w:p>
            <w:r>
              <w:rPr>
                <w:b w:val="false"/>
                <w:bCs w:val="false"/>
              </w:rPr>
              <w:t xml:space="preserve">Minimum ₹15,00,00,000 (₹15 Crore) in each of the last 3 financial years (FY 2022-23, 2023-24, 2024-25), certified by Chartered Accountant</w:t>
            </w:r>
          </w:p>
        </w:tc>
      </w:tr>
      <w:tr>
        <w:tc>
          <w:tcPr>
            <w:tcW w:type="dxa" w:w="1000"/>
            <w:vAlign w:val="center"/>
          </w:tcPr>
          <w:p>
            <w:r>
              <w:rPr>
                <w:b w:val="false"/>
                <w:bCs w:val="false"/>
              </w:rPr>
              <w:t xml:space="preserve">EC-2</w:t>
            </w:r>
          </w:p>
        </w:tc>
        <w:tc>
          <w:tcPr>
            <w:tcW w:type="dxa" w:w="3200"/>
            <w:vAlign w:val="center"/>
          </w:tcPr>
          <w:p>
            <w:r>
              <w:rPr>
                <w:b w:val="false"/>
                <w:bCs w:val="false"/>
              </w:rPr>
              <w:t xml:space="preserve">Relevant Experience</w:t>
            </w:r>
          </w:p>
        </w:tc>
        <w:tc>
          <w:tcPr>
            <w:tcW w:type="dxa" w:w="5160"/>
            <w:vAlign w:val="center"/>
          </w:tcPr>
          <w:p>
            <w:r>
              <w:rPr>
                <w:b w:val="false"/>
                <w:bCs w:val="false"/>
              </w:rPr>
              <w:t xml:space="preserve">Successful completion (COD achieved) of at least 3 solar PV EPC projects of 2 MW or above each, OR at least 1 project of 5 MW or above, in the last 5 years</w:t>
            </w:r>
          </w:p>
        </w:tc>
      </w:tr>
      <w:tr>
        <w:tc>
          <w:tcPr>
            <w:tcW w:type="dxa" w:w="1000"/>
            <w:vAlign w:val="center"/>
          </w:tcPr>
          <w:p>
            <w:r>
              <w:rPr>
                <w:b w:val="false"/>
                <w:bCs w:val="false"/>
              </w:rPr>
              <w:t xml:space="preserve">EC-3</w:t>
            </w:r>
          </w:p>
        </w:tc>
        <w:tc>
          <w:tcPr>
            <w:tcW w:type="dxa" w:w="3200"/>
            <w:vAlign w:val="center"/>
          </w:tcPr>
          <w:p>
            <w:r>
              <w:rPr>
                <w:b w:val="false"/>
                <w:bCs w:val="false"/>
              </w:rPr>
              <w:t xml:space="preserve">Net Worth</w:t>
            </w:r>
          </w:p>
        </w:tc>
        <w:tc>
          <w:tcPr>
            <w:tcW w:type="dxa" w:w="5160"/>
            <w:vAlign w:val="center"/>
          </w:tcPr>
          <w:p>
            <w:r>
              <w:rPr>
                <w:b w:val="false"/>
                <w:bCs w:val="false"/>
              </w:rPr>
              <w:t xml:space="preserve">Positive net worth as per the latest audited financial statement</w:t>
            </w:r>
          </w:p>
        </w:tc>
      </w:tr>
      <w:tr>
        <w:tc>
          <w:tcPr>
            <w:tcW w:type="dxa" w:w="1000"/>
            <w:vAlign w:val="center"/>
          </w:tcPr>
          <w:p>
            <w:r>
              <w:rPr>
                <w:b w:val="false"/>
                <w:bCs w:val="false"/>
              </w:rPr>
              <w:t xml:space="preserve">EC-4</w:t>
            </w:r>
          </w:p>
        </w:tc>
        <w:tc>
          <w:tcPr>
            <w:tcW w:type="dxa" w:w="3200"/>
            <w:vAlign w:val="center"/>
          </w:tcPr>
          <w:p>
            <w:r>
              <w:rPr>
                <w:b w:val="false"/>
                <w:bCs w:val="false"/>
              </w:rPr>
              <w:t xml:space="preserve">Quality Certifications</w:t>
            </w:r>
          </w:p>
        </w:tc>
        <w:tc>
          <w:tcPr>
            <w:tcW w:type="dxa" w:w="5160"/>
            <w:vAlign w:val="center"/>
          </w:tcPr>
          <w:p>
            <w:r>
              <w:rPr>
                <w:b w:val="false"/>
                <w:bCs w:val="false"/>
              </w:rPr>
              <w:t xml:space="preserve">Valid ISO 9001:2015 (Quality), ISO 14001:2015 (Environment) and ISO 45001:2018 (OH&amp;S) certificates</w:t>
            </w:r>
          </w:p>
        </w:tc>
      </w:tr>
      <w:tr>
        <w:tc>
          <w:tcPr>
            <w:tcW w:type="dxa" w:w="1000"/>
            <w:vAlign w:val="center"/>
          </w:tcPr>
          <w:p>
            <w:r>
              <w:rPr>
                <w:b w:val="false"/>
                <w:bCs w:val="false"/>
              </w:rPr>
              <w:t xml:space="preserve">EC-5</w:t>
            </w:r>
          </w:p>
        </w:tc>
        <w:tc>
          <w:tcPr>
            <w:tcW w:type="dxa" w:w="3200"/>
            <w:vAlign w:val="center"/>
          </w:tcPr>
          <w:p>
            <w:r>
              <w:rPr>
                <w:b w:val="false"/>
                <w:bCs w:val="false"/>
              </w:rPr>
              <w:t xml:space="preserve">Statutory Registrations</w:t>
            </w:r>
          </w:p>
        </w:tc>
        <w:tc>
          <w:tcPr>
            <w:tcW w:type="dxa" w:w="5160"/>
            <w:vAlign w:val="center"/>
          </w:tcPr>
          <w:p>
            <w:r>
              <w:rPr>
                <w:b w:val="false"/>
                <w:bCs w:val="false"/>
              </w:rPr>
              <w:t xml:space="preserve">Valid PAN, GST Registration, and EPFO Registration</w:t>
            </w:r>
          </w:p>
        </w:tc>
      </w:tr>
      <w:tr>
        <w:tc>
          <w:tcPr>
            <w:tcW w:type="dxa" w:w="1000"/>
            <w:vAlign w:val="center"/>
          </w:tcPr>
          <w:p>
            <w:r>
              <w:rPr>
                <w:b w:val="false"/>
                <w:bCs w:val="false"/>
              </w:rPr>
              <w:t xml:space="preserve">EC-6</w:t>
            </w:r>
          </w:p>
        </w:tc>
        <w:tc>
          <w:tcPr>
            <w:tcW w:type="dxa" w:w="3200"/>
            <w:vAlign w:val="center"/>
          </w:tcPr>
          <w:p>
            <w:r>
              <w:rPr>
                <w:b w:val="false"/>
                <w:bCs w:val="false"/>
              </w:rPr>
              <w:t xml:space="preserve">Blacklisting Declaration</w:t>
            </w:r>
          </w:p>
        </w:tc>
        <w:tc>
          <w:tcPr>
            <w:tcW w:type="dxa" w:w="5160"/>
            <w:vAlign w:val="center"/>
          </w:tcPr>
          <w:p>
            <w:r>
              <w:rPr>
                <w:b w:val="false"/>
                <w:bCs w:val="false"/>
              </w:rPr>
              <w:t xml:space="preserve">Self-certified undertaking that the bidder is not blacklisted / debarred by any Central/State Government or PSU as on the bid due date</w:t>
            </w:r>
          </w:p>
        </w:tc>
      </w:tr>
      <w:tr>
        <w:tc>
          <w:tcPr>
            <w:tcW w:type="dxa" w:w="1000"/>
            <w:vAlign w:val="center"/>
          </w:tcPr>
          <w:p>
            <w:r>
              <w:rPr>
                <w:b w:val="false"/>
                <w:bCs w:val="false"/>
              </w:rPr>
              <w:t xml:space="preserve">EC-7</w:t>
            </w:r>
          </w:p>
        </w:tc>
        <w:tc>
          <w:tcPr>
            <w:tcW w:type="dxa" w:w="3200"/>
            <w:vAlign w:val="center"/>
          </w:tcPr>
          <w:p>
            <w:r>
              <w:rPr>
                <w:b w:val="false"/>
                <w:bCs w:val="false"/>
              </w:rPr>
              <w:t xml:space="preserve">EMD Submission</w:t>
            </w:r>
          </w:p>
        </w:tc>
        <w:tc>
          <w:tcPr>
            <w:tcW w:type="dxa" w:w="5160"/>
            <w:vAlign w:val="center"/>
          </w:tcPr>
          <w:p>
            <w:r>
              <w:rPr>
                <w:b w:val="false"/>
                <w:bCs w:val="false"/>
              </w:rPr>
              <w:t xml:space="preserve">EMD of ₹75,00,000 in the form of Bank Guarantee / Demand Draft, valid for 180 days</w:t>
            </w:r>
          </w:p>
        </w:tc>
      </w:tr>
    </w:tbl>
    <w:p>
      <w:pPr>
        <w:pStyle w:val="Heading1"/>
        <w:spacing w:after="150" w:before="300"/>
      </w:pPr>
      <w:r>
        <w:t xml:space="preserve">3.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shd w:fill="1F4E79" w:val="clear"/>
            <w:vAlign w:val="center"/>
          </w:tcPr>
          <w:p>
            <w:r>
              <w:rPr>
                <w:b/>
                <w:bCs/>
                <w:color w:val="FFFFFF"/>
              </w:rPr>
              <w:t xml:space="preserve">S.No.</w:t>
            </w:r>
          </w:p>
        </w:tc>
        <w:tc>
          <w:tcPr>
            <w:tcW w:type="dxa" w:w="2800"/>
            <w:shd w:fill="1F4E79" w:val="clear"/>
            <w:vAlign w:val="center"/>
          </w:tcPr>
          <w:p>
            <w:r>
              <w:rPr>
                <w:b/>
                <w:bCs/>
                <w:color w:val="FFFFFF"/>
              </w:rPr>
              <w:t xml:space="preserve">Parameter</w:t>
            </w:r>
          </w:p>
        </w:tc>
        <w:tc>
          <w:tcPr>
            <w:tcW w:type="dxa" w:w="5560"/>
            <w:shd w:fill="1F4E79" w:val="clear"/>
            <w:vAlign w:val="center"/>
          </w:tcPr>
          <w:p>
            <w:r>
              <w:rPr>
                <w:b/>
                <w:bCs/>
                <w:color w:val="FFFFFF"/>
              </w:rPr>
              <w:t xml:space="preserve">Minimum Requirement</w:t>
            </w:r>
          </w:p>
        </w:tc>
      </w:tr>
      <w:tr>
        <w:tc>
          <w:tcPr>
            <w:tcW w:type="dxa" w:w="1000"/>
            <w:vAlign w:val="center"/>
          </w:tcPr>
          <w:p>
            <w:r>
              <w:rPr>
                <w:b w:val="false"/>
                <w:bCs w:val="false"/>
              </w:rPr>
              <w:t xml:space="preserve">TR-1</w:t>
            </w:r>
          </w:p>
        </w:tc>
        <w:tc>
          <w:tcPr>
            <w:tcW w:type="dxa" w:w="2800"/>
            <w:vAlign w:val="center"/>
          </w:tcPr>
          <w:p>
            <w:r>
              <w:rPr>
                <w:b w:val="false"/>
                <w:bCs w:val="false"/>
              </w:rPr>
              <w:t xml:space="preserve">PV Module Type</w:t>
            </w:r>
          </w:p>
        </w:tc>
        <w:tc>
          <w:tcPr>
            <w:tcW w:type="dxa" w:w="5560"/>
            <w:vAlign w:val="center"/>
          </w:tcPr>
          <w:p>
            <w:r>
              <w:rPr>
                <w:b w:val="false"/>
                <w:bCs w:val="false"/>
              </w:rPr>
              <w:t xml:space="preserve">Tier-1 Mono PERC / TOPCon, module efficiency ≥ 20.5%, unit rating ≥ 540 Wp</w:t>
            </w:r>
          </w:p>
        </w:tc>
      </w:tr>
      <w:tr>
        <w:tc>
          <w:tcPr>
            <w:tcW w:type="dxa" w:w="1000"/>
            <w:vAlign w:val="center"/>
          </w:tcPr>
          <w:p>
            <w:r>
              <w:rPr>
                <w:b w:val="false"/>
                <w:bCs w:val="false"/>
              </w:rPr>
              <w:t xml:space="preserve">TR-2</w:t>
            </w:r>
          </w:p>
        </w:tc>
        <w:tc>
          <w:tcPr>
            <w:tcW w:type="dxa" w:w="2800"/>
            <w:vAlign w:val="center"/>
          </w:tcPr>
          <w:p>
            <w:r>
              <w:rPr>
                <w:b w:val="false"/>
                <w:bCs w:val="false"/>
              </w:rPr>
              <w:t xml:space="preserve">Module Warranty</w:t>
            </w:r>
          </w:p>
        </w:tc>
        <w:tc>
          <w:tcPr>
            <w:tcW w:type="dxa" w:w="5560"/>
            <w:vAlign w:val="center"/>
          </w:tcPr>
          <w:p>
            <w:r>
              <w:rPr>
                <w:b w:val="false"/>
                <w:bCs w:val="false"/>
              </w:rPr>
              <w:t xml:space="preserve">25 years linear performance warranty (≥ 80.7% output at end of Year 25)</w:t>
            </w:r>
          </w:p>
        </w:tc>
      </w:tr>
      <w:tr>
        <w:tc>
          <w:tcPr>
            <w:tcW w:type="dxa" w:w="1000"/>
            <w:vAlign w:val="center"/>
          </w:tcPr>
          <w:p>
            <w:r>
              <w:rPr>
                <w:b w:val="false"/>
                <w:bCs w:val="false"/>
              </w:rPr>
              <w:t xml:space="preserve">TR-3</w:t>
            </w:r>
          </w:p>
        </w:tc>
        <w:tc>
          <w:tcPr>
            <w:tcW w:type="dxa" w:w="2800"/>
            <w:vAlign w:val="center"/>
          </w:tcPr>
          <w:p>
            <w:r>
              <w:rPr>
                <w:b w:val="false"/>
                <w:bCs w:val="false"/>
              </w:rPr>
              <w:t xml:space="preserve">Inverter Type</w:t>
            </w:r>
          </w:p>
        </w:tc>
        <w:tc>
          <w:tcPr>
            <w:tcW w:type="dxa" w:w="5560"/>
            <w:vAlign w:val="center"/>
          </w:tcPr>
          <w:p>
            <w:r>
              <w:rPr>
                <w:b w:val="false"/>
                <w:bCs w:val="false"/>
              </w:rPr>
              <w:t xml:space="preserve">String or Central Inverter, minimum efficiency 98.0%</w:t>
            </w:r>
          </w:p>
        </w:tc>
      </w:tr>
      <w:tr>
        <w:tc>
          <w:tcPr>
            <w:tcW w:type="dxa" w:w="1000"/>
            <w:vAlign w:val="center"/>
          </w:tcPr>
          <w:p>
            <w:r>
              <w:rPr>
                <w:b w:val="false"/>
                <w:bCs w:val="false"/>
              </w:rPr>
              <w:t xml:space="preserve">TR-4</w:t>
            </w:r>
          </w:p>
        </w:tc>
        <w:tc>
          <w:tcPr>
            <w:tcW w:type="dxa" w:w="2800"/>
            <w:vAlign w:val="center"/>
          </w:tcPr>
          <w:p>
            <w:r>
              <w:rPr>
                <w:b w:val="false"/>
                <w:bCs w:val="false"/>
              </w:rPr>
              <w:t xml:space="preserve">Inverter Warranty</w:t>
            </w:r>
          </w:p>
        </w:tc>
        <w:tc>
          <w:tcPr>
            <w:tcW w:type="dxa" w:w="5560"/>
            <w:vAlign w:val="center"/>
          </w:tcPr>
          <w:p>
            <w:r>
              <w:rPr>
                <w:b w:val="false"/>
                <w:bCs w:val="false"/>
              </w:rPr>
              <w:t xml:space="preserve">Minimum 5 years comprehensive warranty</w:t>
            </w:r>
          </w:p>
        </w:tc>
      </w:tr>
      <w:tr>
        <w:tc>
          <w:tcPr>
            <w:tcW w:type="dxa" w:w="1000"/>
            <w:vAlign w:val="center"/>
          </w:tcPr>
          <w:p>
            <w:r>
              <w:rPr>
                <w:b w:val="false"/>
                <w:bCs w:val="false"/>
              </w:rPr>
              <w:t xml:space="preserve">TR-5</w:t>
            </w:r>
          </w:p>
        </w:tc>
        <w:tc>
          <w:tcPr>
            <w:tcW w:type="dxa" w:w="2800"/>
            <w:vAlign w:val="center"/>
          </w:tcPr>
          <w:p>
            <w:r>
              <w:rPr>
                <w:b w:val="false"/>
                <w:bCs w:val="false"/>
              </w:rPr>
              <w:t xml:space="preserve">Mounting Structure</w:t>
            </w:r>
          </w:p>
        </w:tc>
        <w:tc>
          <w:tcPr>
            <w:tcW w:type="dxa" w:w="5560"/>
            <w:vAlign w:val="center"/>
          </w:tcPr>
          <w:p>
            <w:r>
              <w:rPr>
                <w:b w:val="false"/>
                <w:bCs w:val="false"/>
              </w:rPr>
              <w:t xml:space="preserve">Hot-dip galvanized MS/GI fixed-tilt or single-axis tracker structure, design life 25 years</w:t>
            </w:r>
          </w:p>
        </w:tc>
      </w:tr>
      <w:tr>
        <w:tc>
          <w:tcPr>
            <w:tcW w:type="dxa" w:w="1000"/>
            <w:vAlign w:val="center"/>
          </w:tcPr>
          <w:p>
            <w:r>
              <w:rPr>
                <w:b w:val="false"/>
                <w:bCs w:val="false"/>
              </w:rPr>
              <w:t xml:space="preserve">TR-6</w:t>
            </w:r>
          </w:p>
        </w:tc>
        <w:tc>
          <w:tcPr>
            <w:tcW w:type="dxa" w:w="2800"/>
            <w:vAlign w:val="center"/>
          </w:tcPr>
          <w:p>
            <w:r>
              <w:rPr>
                <w:b w:val="false"/>
                <w:bCs w:val="false"/>
              </w:rPr>
              <w:t xml:space="preserve">Grid Interconnection</w:t>
            </w:r>
          </w:p>
        </w:tc>
        <w:tc>
          <w:tcPr>
            <w:tcW w:type="dxa" w:w="5560"/>
            <w:vAlign w:val="center"/>
          </w:tcPr>
          <w:p>
            <w:r>
              <w:rPr>
                <w:b w:val="false"/>
                <w:bCs w:val="false"/>
              </w:rPr>
              <w:t xml:space="preserve">33 kV interconnection with State grid, as per CEA/State Discom norms</w:t>
            </w:r>
          </w:p>
        </w:tc>
      </w:tr>
      <w:tr>
        <w:tc>
          <w:tcPr>
            <w:tcW w:type="dxa" w:w="1000"/>
            <w:vAlign w:val="center"/>
          </w:tcPr>
          <w:p>
            <w:r>
              <w:rPr>
                <w:b w:val="false"/>
                <w:bCs w:val="false"/>
              </w:rPr>
              <w:t xml:space="preserve">TR-7</w:t>
            </w:r>
          </w:p>
        </w:tc>
        <w:tc>
          <w:tcPr>
            <w:tcW w:type="dxa" w:w="2800"/>
            <w:vAlign w:val="center"/>
          </w:tcPr>
          <w:p>
            <w:r>
              <w:rPr>
                <w:b w:val="false"/>
                <w:bCs w:val="false"/>
              </w:rPr>
              <w:t xml:space="preserve">Monitoring</w:t>
            </w:r>
          </w:p>
        </w:tc>
        <w:tc>
          <w:tcPr>
            <w:tcW w:type="dxa" w:w="5560"/>
            <w:vAlign w:val="center"/>
          </w:tcPr>
          <w:p>
            <w:r>
              <w:rPr>
                <w:b w:val="false"/>
                <w:bCs w:val="false"/>
              </w:rPr>
              <w:t xml:space="preserve">SCADA-based real-time remote monitoring with weather station (irradiance, temperature, wind)</w:t>
            </w:r>
          </w:p>
        </w:tc>
      </w:tr>
      <w:tr>
        <w:tc>
          <w:tcPr>
            <w:tcW w:type="dxa" w:w="1000"/>
            <w:vAlign w:val="center"/>
          </w:tcPr>
          <w:p>
            <w:r>
              <w:rPr>
                <w:b w:val="false"/>
                <w:bCs w:val="false"/>
              </w:rPr>
              <w:t xml:space="preserve">TR-8</w:t>
            </w:r>
          </w:p>
        </w:tc>
        <w:tc>
          <w:tcPr>
            <w:tcW w:type="dxa" w:w="2800"/>
            <w:vAlign w:val="center"/>
          </w:tcPr>
          <w:p>
            <w:r>
              <w:rPr>
                <w:b w:val="false"/>
                <w:bCs w:val="false"/>
              </w:rPr>
              <w:t xml:space="preserve">Land Requirement</w:t>
            </w:r>
          </w:p>
        </w:tc>
        <w:tc>
          <w:tcPr>
            <w:tcW w:type="dxa" w:w="5560"/>
            <w:vAlign w:val="center"/>
          </w:tcPr>
          <w:p>
            <w:r>
              <w:rPr>
                <w:b w:val="false"/>
                <w:bCs w:val="false"/>
              </w:rPr>
              <w:t xml:space="preserve">Approximately 25 acres (provided by GSPCL; bidder to confirm layout feasibility)</w:t>
            </w:r>
          </w:p>
        </w:tc>
      </w:tr>
      <w:tr>
        <w:tc>
          <w:tcPr>
            <w:tcW w:type="dxa" w:w="1000"/>
            <w:vAlign w:val="center"/>
          </w:tcPr>
          <w:p>
            <w:r>
              <w:rPr>
                <w:b w:val="false"/>
                <w:bCs w:val="false"/>
              </w:rPr>
              <w:t xml:space="preserve">TR-9</w:t>
            </w:r>
          </w:p>
        </w:tc>
        <w:tc>
          <w:tcPr>
            <w:tcW w:type="dxa" w:w="2800"/>
            <w:vAlign w:val="center"/>
          </w:tcPr>
          <w:p>
            <w:r>
              <w:rPr>
                <w:b w:val="false"/>
                <w:bCs w:val="false"/>
              </w:rPr>
              <w:t xml:space="preserve">Performance Ratio (PR)</w:t>
            </w:r>
          </w:p>
        </w:tc>
        <w:tc>
          <w:tcPr>
            <w:tcW w:type="dxa" w:w="5560"/>
            <w:vAlign w:val="center"/>
          </w:tcPr>
          <w:p>
            <w:r>
              <w:rPr>
                <w:b w:val="false"/>
                <w:bCs w:val="false"/>
              </w:rPr>
              <w:t xml:space="preserve">Minimum 80% in the first year of operation, guaranteed</w:t>
            </w:r>
          </w:p>
        </w:tc>
      </w:tr>
      <w:tr>
        <w:tc>
          <w:tcPr>
            <w:tcW w:type="dxa" w:w="1000"/>
            <w:vAlign w:val="center"/>
          </w:tcPr>
          <w:p>
            <w:r>
              <w:rPr>
                <w:b w:val="false"/>
                <w:bCs w:val="false"/>
              </w:rPr>
              <w:t xml:space="preserve">TR-10</w:t>
            </w:r>
          </w:p>
        </w:tc>
        <w:tc>
          <w:tcPr>
            <w:tcW w:type="dxa" w:w="2800"/>
            <w:vAlign w:val="center"/>
          </w:tcPr>
          <w:p>
            <w:r>
              <w:rPr>
                <w:b w:val="false"/>
                <w:bCs w:val="false"/>
              </w:rPr>
              <w:t xml:space="preserve">O&amp;M Period</w:t>
            </w:r>
          </w:p>
        </w:tc>
        <w:tc>
          <w:tcPr>
            <w:tcW w:type="dxa" w:w="5560"/>
            <w:vAlign w:val="center"/>
          </w:tcPr>
          <w:p>
            <w:r>
              <w:rPr>
                <w:b w:val="false"/>
                <w:bCs w:val="false"/>
              </w:rPr>
              <w:t xml:space="preserve">5 years comprehensive O&amp;M including manpower, spares, and insurance</w:t>
            </w:r>
          </w:p>
        </w:tc>
      </w:tr>
    </w:tbl>
    <w:p>
      <w:pPr>
        <w:pStyle w:val="Heading1"/>
        <w:spacing w:after="150" w:before="300"/>
      </w:pPr>
      <w:r>
        <w:t xml:space="preserve">4. Commercial Requirements</w:t>
      </w:r>
    </w:p>
    <w:p>
      <w:pPr>
        <w:pStyle w:val="ListParagraph"/>
        <w:numPr>
          <w:ilvl w:val="0"/>
          <w:numId w:val="2"/>
        </w:numPr>
        <w:spacing w:after="60"/>
      </w:pPr>
      <w:r>
        <w:t xml:space="preserve">Prices shall be quoted on a firm, fixed-price, turnkey basis (FOR Site) inclusive of all duties except GST, which shall be shown separately.</w:t>
      </w:r>
    </w:p>
    <w:p>
      <w:pPr>
        <w:pStyle w:val="ListParagraph"/>
        <w:numPr>
          <w:ilvl w:val="0"/>
          <w:numId w:val="2"/>
        </w:numPr>
        <w:spacing w:after="60"/>
      </w:pPr>
      <w:r>
        <w:t xml:space="preserve">Performance Bank Guarantee (PBG) of 5% of the total Contract Value shall be submitted within 15 days of Letter of Intent (LOI), valid till expiry of Defect Liability Period.</w:t>
      </w:r>
    </w:p>
    <w:p>
      <w:pPr>
        <w:pStyle w:val="ListParagraph"/>
        <w:numPr>
          <w:ilvl w:val="0"/>
          <w:numId w:val="2"/>
        </w:numPr>
        <w:spacing w:after="60"/>
      </w:pPr>
      <w:r>
        <w:t xml:space="preserve">Payment shall be released strictly as per the Milestone Payment Schedule (Section 6).</w:t>
      </w:r>
    </w:p>
    <w:p>
      <w:pPr>
        <w:pStyle w:val="ListParagraph"/>
        <w:numPr>
          <w:ilvl w:val="0"/>
          <w:numId w:val="2"/>
        </w:numPr>
        <w:spacing w:after="60"/>
      </w:pPr>
      <w:r>
        <w:t xml:space="preserve">Prices quoted shall remain firm throughout the contract period; no price escalation shall be permitted except statutory tax changes.</w:t>
      </w:r>
    </w:p>
    <w:p>
      <w:pPr>
        <w:pStyle w:val="Heading1"/>
        <w:spacing w:after="150" w:before="300"/>
      </w:pPr>
      <w:r>
        <w:t xml:space="preserve">5. Evaluation Criteria</w:t>
      </w:r>
    </w:p>
    <w:p>
      <w:pPr>
        <w:spacing w:after="120"/>
      </w:pPr>
      <w:r>
        <w:t xml:space="preserve">Evaluation shall be conducted in three sequential stages. Bidders failing at any stage shall not proceed to the subsequent stage.</w:t>
      </w:r>
    </w:p>
    <w:p>
      <w:pPr>
        <w:pStyle w:val="Heading2"/>
        <w:spacing w:after="120" w:before="240"/>
      </w:pPr>
      <w:r>
        <w:t xml:space="preserve">Stage 1: Eligibility Screening</w:t>
      </w:r>
    </w:p>
    <w:p>
      <w:pPr>
        <w:spacing w:after="120"/>
      </w:pPr>
      <w:r>
        <w:t xml:space="preserve">Bids shall be screened against the mandatory Eligibility Criteria (Section 2) on a Compliant / Non-Compliant basis. Only fully eligible bidders shall proceed to Stage 2.</w:t>
      </w:r>
    </w:p>
    <w:p>
      <w:pPr>
        <w:pStyle w:val="Heading2"/>
        <w:spacing w:after="120" w:before="240"/>
      </w:pPr>
      <w:r>
        <w:t xml:space="preserve">Stage 2: Technical Evaluation (100 marks; minimum qualifying score 60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4E79" w:val="clear"/>
            <w:vAlign w:val="center"/>
          </w:tcPr>
          <w:p>
            <w:r>
              <w:rPr>
                <w:b/>
                <w:bCs/>
                <w:color w:val="FFFFFF"/>
              </w:rPr>
              <w:t xml:space="preserve">Criteria</w:t>
            </w:r>
          </w:p>
        </w:tc>
        <w:tc>
          <w:tcPr>
            <w:tcW w:type="dxa" w:w="2360"/>
            <w:shd w:fill="1F4E79" w:val="clear"/>
            <w:vAlign w:val="center"/>
          </w:tcPr>
          <w:p>
            <w:r>
              <w:rPr>
                <w:b/>
                <w:bCs/>
                <w:color w:val="FFFFFF"/>
              </w:rPr>
              <w:t xml:space="preserve">Max Marks</w:t>
            </w:r>
          </w:p>
        </w:tc>
      </w:tr>
      <w:tr>
        <w:tc>
          <w:tcPr>
            <w:tcW w:type="dxa" w:w="7000"/>
            <w:vAlign w:val="center"/>
          </w:tcPr>
          <w:p>
            <w:r>
              <w:rPr>
                <w:b w:val="false"/>
                <w:bCs w:val="false"/>
              </w:rPr>
              <w:t xml:space="preserve">Relevant Project Experience &amp; Track Record</w:t>
            </w:r>
          </w:p>
        </w:tc>
        <w:tc>
          <w:tcPr>
            <w:tcW w:type="dxa" w:w="2360"/>
            <w:vAlign w:val="center"/>
          </w:tcPr>
          <w:p>
            <w:r>
              <w:rPr>
                <w:b w:val="false"/>
                <w:bCs w:val="false"/>
              </w:rPr>
              <w:t xml:space="preserve">20</w:t>
            </w:r>
          </w:p>
        </w:tc>
      </w:tr>
      <w:tr>
        <w:tc>
          <w:tcPr>
            <w:tcW w:type="dxa" w:w="7000"/>
            <w:vAlign w:val="center"/>
          </w:tcPr>
          <w:p>
            <w:r>
              <w:rPr>
                <w:b w:val="false"/>
                <w:bCs w:val="false"/>
              </w:rPr>
              <w:t xml:space="preserve">Technical Design, Equipment Specification &amp; Compliance</w:t>
            </w:r>
          </w:p>
        </w:tc>
        <w:tc>
          <w:tcPr>
            <w:tcW w:type="dxa" w:w="2360"/>
            <w:vAlign w:val="center"/>
          </w:tcPr>
          <w:p>
            <w:r>
              <w:rPr>
                <w:b w:val="false"/>
                <w:bCs w:val="false"/>
              </w:rPr>
              <w:t xml:space="preserve">25</w:t>
            </w:r>
          </w:p>
        </w:tc>
      </w:tr>
      <w:tr>
        <w:tc>
          <w:tcPr>
            <w:tcW w:type="dxa" w:w="7000"/>
            <w:vAlign w:val="center"/>
          </w:tcPr>
          <w:p>
            <w:r>
              <w:rPr>
                <w:b w:val="false"/>
                <w:bCs w:val="false"/>
              </w:rPr>
              <w:t xml:space="preserve">Project Execution Methodology &amp; Schedule</w:t>
            </w:r>
          </w:p>
        </w:tc>
        <w:tc>
          <w:tcPr>
            <w:tcW w:type="dxa" w:w="2360"/>
            <w:vAlign w:val="center"/>
          </w:tcPr>
          <w:p>
            <w:r>
              <w:rPr>
                <w:b w:val="false"/>
                <w:bCs w:val="false"/>
              </w:rPr>
              <w:t xml:space="preserve">15</w:t>
            </w:r>
          </w:p>
        </w:tc>
      </w:tr>
      <w:tr>
        <w:tc>
          <w:tcPr>
            <w:tcW w:type="dxa" w:w="7000"/>
            <w:vAlign w:val="center"/>
          </w:tcPr>
          <w:p>
            <w:r>
              <w:rPr>
                <w:b w:val="false"/>
                <w:bCs w:val="false"/>
              </w:rPr>
              <w:t xml:space="preserve">Manpower, Equipment &amp; Financial Capacity</w:t>
            </w:r>
          </w:p>
        </w:tc>
        <w:tc>
          <w:tcPr>
            <w:tcW w:type="dxa" w:w="2360"/>
            <w:vAlign w:val="center"/>
          </w:tcPr>
          <w:p>
            <w:r>
              <w:rPr>
                <w:b w:val="false"/>
                <w:bCs w:val="false"/>
              </w:rPr>
              <w:t xml:space="preserve">10</w:t>
            </w:r>
          </w:p>
        </w:tc>
      </w:tr>
      <w:tr>
        <w:tc>
          <w:tcPr>
            <w:tcW w:type="dxa" w:w="7000"/>
            <w:vAlign w:val="center"/>
          </w:tcPr>
          <w:p>
            <w:r>
              <w:rPr>
                <w:b w:val="false"/>
                <w:bCs w:val="false"/>
              </w:rPr>
              <w:t xml:space="preserve">Technical Compliance to Section 3 Requirements</w:t>
            </w:r>
          </w:p>
        </w:tc>
        <w:tc>
          <w:tcPr>
            <w:tcW w:type="dxa" w:w="2360"/>
            <w:vAlign w:val="center"/>
          </w:tcPr>
          <w:p>
            <w:r>
              <w:rPr>
                <w:b w:val="false"/>
                <w:bCs w:val="false"/>
              </w:rPr>
              <w:t xml:space="preserve">20</w:t>
            </w:r>
          </w:p>
        </w:tc>
      </w:tr>
      <w:tr>
        <w:tc>
          <w:tcPr>
            <w:tcW w:type="dxa" w:w="7000"/>
            <w:vAlign w:val="center"/>
          </w:tcPr>
          <w:p>
            <w:r>
              <w:rPr>
                <w:b w:val="false"/>
                <w:bCs w:val="false"/>
              </w:rPr>
              <w:t xml:space="preserve">Presentation &amp; Documentation Quality</w:t>
            </w:r>
          </w:p>
        </w:tc>
        <w:tc>
          <w:tcPr>
            <w:tcW w:type="dxa" w:w="2360"/>
            <w:vAlign w:val="center"/>
          </w:tcPr>
          <w:p>
            <w:r>
              <w:rPr>
                <w:b w:val="false"/>
                <w:bCs w:val="false"/>
              </w:rPr>
              <w:t xml:space="preserve">10</w:t>
            </w:r>
          </w:p>
        </w:tc>
      </w:tr>
    </w:tbl>
    <w:p>
      <w:pPr>
        <w:pStyle w:val="Heading2"/>
        <w:spacing w:after="120" w:before="240"/>
      </w:pPr>
      <w:r>
        <w:t xml:space="preserve">Stage 3: Financial Evaluation</w:t>
      </w:r>
    </w:p>
    <w:p>
      <w:pPr>
        <w:spacing w:after="120"/>
      </w:pPr>
      <w:r>
        <w:t xml:space="preserve">Financial Bids of only technically qualified bidders (score ≥ 60/100) shall be opened. The bidder quoting the Lowest Evaluated Total Bid Value (L1) among technically qualified bidders shall ordinarily be recommended for award, subject to the Evaluation Committee's assessment of any technical deviations, value-additions, or price normalization adjustments.</w:t>
      </w:r>
    </w:p>
    <w:p>
      <w:pPr>
        <w:pStyle w:val="Heading1"/>
        <w:spacing w:after="150" w:before="300"/>
      </w:pPr>
      <w:r>
        <w:t xml:space="preserve">6. Pricing / Bid Value Structure &amp; Milestone Payment Schedule</w:t>
      </w:r>
    </w:p>
    <w:p>
      <w:pPr>
        <w:spacing w:after="120"/>
      </w:pPr>
      <w:r>
        <w:t xml:space="preserve">Bidders shall quote prices strictly in the format below (Engineer's Estimate shown as reference; NOT to be disclosed to bidders during bidding):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shd w:fill="1F4E79" w:val="clear"/>
            <w:vAlign w:val="center"/>
          </w:tcPr>
          <w:p>
            <w:r>
              <w:rPr>
                <w:b/>
                <w:bCs/>
                <w:color w:val="FFFFFF"/>
              </w:rPr>
              <w:t xml:space="preserve">Component</w:t>
            </w:r>
          </w:p>
        </w:tc>
        <w:tc>
          <w:tcPr>
            <w:tcW w:type="dxa" w:w="2600"/>
            <w:shd w:fill="1F4E79" w:val="clear"/>
            <w:vAlign w:val="center"/>
          </w:tcPr>
          <w:p>
            <w:r>
              <w:rPr>
                <w:b/>
                <w:bCs/>
                <w:color w:val="FFFFFF"/>
              </w:rPr>
              <w:t xml:space="preserve">Engineer's Estimate (₹)</w:t>
            </w:r>
          </w:p>
        </w:tc>
        <w:tc>
          <w:tcPr>
            <w:tcW w:type="dxa" w:w="2560"/>
            <w:shd w:fill="1F4E79" w:val="clear"/>
            <w:vAlign w:val="center"/>
          </w:tcPr>
          <w:p>
            <w:r>
              <w:rPr>
                <w:b/>
                <w:bCs/>
                <w:color w:val="FFFFFF"/>
              </w:rPr>
              <w:t xml:space="preserve">Payment Milestone (% of component value)</w:t>
            </w:r>
          </w:p>
        </w:tc>
      </w:tr>
      <w:tr>
        <w:tc>
          <w:tcPr>
            <w:tcW w:type="dxa" w:w="4200"/>
            <w:vAlign w:val="center"/>
          </w:tcPr>
          <w:p>
            <w:r>
              <w:rPr>
                <w:b w:val="false"/>
                <w:bCs w:val="false"/>
              </w:rPr>
              <w:t xml:space="preserve">Supply of PV Modules</w:t>
            </w:r>
          </w:p>
        </w:tc>
        <w:tc>
          <w:tcPr>
            <w:tcW w:type="dxa" w:w="2600"/>
            <w:vAlign w:val="center"/>
          </w:tcPr>
          <w:p>
            <w:r>
              <w:rPr>
                <w:b w:val="false"/>
                <w:bCs w:val="false"/>
              </w:rPr>
              <w:t xml:space="preserve">₹7,40,00,000</w:t>
            </w:r>
          </w:p>
        </w:tc>
        <w:tc>
          <w:tcPr>
            <w:tcW w:type="dxa" w:w="2560"/>
            <w:vAlign w:val="center"/>
          </w:tcPr>
          <w:p>
            <w:r>
              <w:rPr>
                <w:b w:val="false"/>
                <w:bCs w:val="false"/>
              </w:rPr>
              <w:t xml:space="preserve">40% on delivery, 60% on commissioning</w:t>
            </w:r>
          </w:p>
        </w:tc>
      </w:tr>
      <w:tr>
        <w:tc>
          <w:tcPr>
            <w:tcW w:type="dxa" w:w="4200"/>
            <w:vAlign w:val="center"/>
          </w:tcPr>
          <w:p>
            <w:r>
              <w:rPr>
                <w:b w:val="false"/>
                <w:bCs w:val="false"/>
              </w:rPr>
              <w:t xml:space="preserve">Supply of Inverters</w:t>
            </w:r>
          </w:p>
        </w:tc>
        <w:tc>
          <w:tcPr>
            <w:tcW w:type="dxa" w:w="2600"/>
            <w:vAlign w:val="center"/>
          </w:tcPr>
          <w:p>
            <w:r>
              <w:rPr>
                <w:b w:val="false"/>
                <w:bCs w:val="false"/>
              </w:rPr>
              <w:t xml:space="preserve">₹1,85,00,000</w:t>
            </w:r>
          </w:p>
        </w:tc>
        <w:tc>
          <w:tcPr>
            <w:tcW w:type="dxa" w:w="2560"/>
            <w:vAlign w:val="center"/>
          </w:tcPr>
          <w:p>
            <w:r>
              <w:rPr>
                <w:b w:val="false"/>
                <w:bCs w:val="false"/>
              </w:rPr>
              <w:t xml:space="preserve">40% on delivery, 60% on commissioning</w:t>
            </w:r>
          </w:p>
        </w:tc>
      </w:tr>
      <w:tr>
        <w:tc>
          <w:tcPr>
            <w:tcW w:type="dxa" w:w="4200"/>
            <w:vAlign w:val="center"/>
          </w:tcPr>
          <w:p>
            <w:r>
              <w:rPr>
                <w:b w:val="false"/>
                <w:bCs w:val="false"/>
              </w:rPr>
              <w:t xml:space="preserve">Balance of System (Structures, Cables, BOS)</w:t>
            </w:r>
          </w:p>
        </w:tc>
        <w:tc>
          <w:tcPr>
            <w:tcW w:type="dxa" w:w="2600"/>
            <w:vAlign w:val="center"/>
          </w:tcPr>
          <w:p>
            <w:r>
              <w:rPr>
                <w:b w:val="false"/>
                <w:bCs w:val="false"/>
              </w:rPr>
              <w:t xml:space="preserve">₹2,85,00,000</w:t>
            </w:r>
          </w:p>
        </w:tc>
        <w:tc>
          <w:tcPr>
            <w:tcW w:type="dxa" w:w="2560"/>
            <w:vAlign w:val="center"/>
          </w:tcPr>
          <w:p>
            <w:r>
              <w:rPr>
                <w:b w:val="false"/>
                <w:bCs w:val="false"/>
              </w:rPr>
              <w:t xml:space="preserve">30% on delivery, 70% on commissioning</w:t>
            </w:r>
          </w:p>
        </w:tc>
      </w:tr>
      <w:tr>
        <w:tc>
          <w:tcPr>
            <w:tcW w:type="dxa" w:w="4200"/>
            <w:vAlign w:val="center"/>
          </w:tcPr>
          <w:p>
            <w:r>
              <w:rPr>
                <w:b w:val="false"/>
                <w:bCs w:val="false"/>
              </w:rPr>
              <w:t xml:space="preserve">Civil &amp; Structural Works</w:t>
            </w:r>
          </w:p>
        </w:tc>
        <w:tc>
          <w:tcPr>
            <w:tcW w:type="dxa" w:w="2600"/>
            <w:vAlign w:val="center"/>
          </w:tcPr>
          <w:p>
            <w:r>
              <w:rPr>
                <w:b w:val="false"/>
                <w:bCs w:val="false"/>
              </w:rPr>
              <w:t xml:space="preserve">₹1,65,00,000</w:t>
            </w:r>
          </w:p>
        </w:tc>
        <w:tc>
          <w:tcPr>
            <w:tcW w:type="dxa" w:w="2560"/>
            <w:vAlign w:val="center"/>
          </w:tcPr>
          <w:p>
            <w:r>
              <w:rPr>
                <w:b w:val="false"/>
                <w:bCs w:val="false"/>
              </w:rPr>
              <w:t xml:space="preserve">As per work completion (milestone-based)</w:t>
            </w:r>
          </w:p>
        </w:tc>
      </w:tr>
      <w:tr>
        <w:tc>
          <w:tcPr>
            <w:tcW w:type="dxa" w:w="4200"/>
            <w:vAlign w:val="center"/>
          </w:tcPr>
          <w:p>
            <w:r>
              <w:rPr>
                <w:b w:val="false"/>
                <w:bCs w:val="false"/>
              </w:rPr>
              <w:t xml:space="preserve">Electrical Works (Switchyard, Transformer, Cabling)</w:t>
            </w:r>
          </w:p>
        </w:tc>
        <w:tc>
          <w:tcPr>
            <w:tcW w:type="dxa" w:w="2600"/>
            <w:vAlign w:val="center"/>
          </w:tcPr>
          <w:p>
            <w:r>
              <w:rPr>
                <w:b w:val="false"/>
                <w:bCs w:val="false"/>
              </w:rPr>
              <w:t xml:space="preserve">₹2,20,00,000</w:t>
            </w:r>
          </w:p>
        </w:tc>
        <w:tc>
          <w:tcPr>
            <w:tcW w:type="dxa" w:w="2560"/>
            <w:vAlign w:val="center"/>
          </w:tcPr>
          <w:p>
            <w:r>
              <w:rPr>
                <w:b w:val="false"/>
                <w:bCs w:val="false"/>
              </w:rPr>
              <w:t xml:space="preserve">As per work completion (milestone-based)</w:t>
            </w:r>
          </w:p>
        </w:tc>
      </w:tr>
      <w:tr>
        <w:tc>
          <w:tcPr>
            <w:tcW w:type="dxa" w:w="4200"/>
            <w:vAlign w:val="center"/>
          </w:tcPr>
          <w:p>
            <w:r>
              <w:rPr>
                <w:b w:val="false"/>
                <w:bCs w:val="false"/>
              </w:rPr>
              <w:t xml:space="preserve">Installation, Testing &amp; Commissioning</w:t>
            </w:r>
          </w:p>
        </w:tc>
        <w:tc>
          <w:tcPr>
            <w:tcW w:type="dxa" w:w="2600"/>
            <w:vAlign w:val="center"/>
          </w:tcPr>
          <w:p>
            <w:r>
              <w:rPr>
                <w:b w:val="false"/>
                <w:bCs w:val="false"/>
              </w:rPr>
              <w:t xml:space="preserve">₹90,00,000</w:t>
            </w:r>
          </w:p>
        </w:tc>
        <w:tc>
          <w:tcPr>
            <w:tcW w:type="dxa" w:w="2560"/>
            <w:vAlign w:val="center"/>
          </w:tcPr>
          <w:p>
            <w:r>
              <w:rPr>
                <w:b w:val="false"/>
                <w:bCs w:val="false"/>
              </w:rPr>
              <w:t xml:space="preserve">100% on successful COD</w:t>
            </w:r>
          </w:p>
        </w:tc>
      </w:tr>
      <w:tr>
        <w:tc>
          <w:tcPr>
            <w:tcW w:type="dxa" w:w="4200"/>
            <w:vAlign w:val="center"/>
          </w:tcPr>
          <w:p>
            <w:r>
              <w:rPr>
                <w:b w:val="false"/>
                <w:bCs w:val="false"/>
              </w:rPr>
              <w:t xml:space="preserve">SCADA &amp; Monitoring System</w:t>
            </w:r>
          </w:p>
        </w:tc>
        <w:tc>
          <w:tcPr>
            <w:tcW w:type="dxa" w:w="2600"/>
            <w:vAlign w:val="center"/>
          </w:tcPr>
          <w:p>
            <w:r>
              <w:rPr>
                <w:b w:val="false"/>
                <w:bCs w:val="false"/>
              </w:rPr>
              <w:t xml:space="preserve">₹40,00,000</w:t>
            </w:r>
          </w:p>
        </w:tc>
        <w:tc>
          <w:tcPr>
            <w:tcW w:type="dxa" w:w="2560"/>
            <w:vAlign w:val="center"/>
          </w:tcPr>
          <w:p>
            <w:r>
              <w:rPr>
                <w:b w:val="false"/>
                <w:bCs w:val="false"/>
              </w:rPr>
              <w:t xml:space="preserve">100% on commissioning</w:t>
            </w:r>
          </w:p>
        </w:tc>
      </w:tr>
      <w:tr>
        <w:tc>
          <w:tcPr>
            <w:tcW w:type="dxa" w:w="4200"/>
            <w:vAlign w:val="center"/>
          </w:tcPr>
          <w:p>
            <w:r>
              <w:rPr>
                <w:b w:val="false"/>
                <w:bCs w:val="false"/>
              </w:rPr>
              <w:t xml:space="preserve">Comprehensive O&amp;M (5 Years)</w:t>
            </w:r>
          </w:p>
        </w:tc>
        <w:tc>
          <w:tcPr>
            <w:tcW w:type="dxa" w:w="2600"/>
            <w:vAlign w:val="center"/>
          </w:tcPr>
          <w:p>
            <w:r>
              <w:rPr>
                <w:b w:val="false"/>
                <w:bCs w:val="false"/>
              </w:rPr>
              <w:t xml:space="preserve">₹1,20,00,000</w:t>
            </w:r>
          </w:p>
        </w:tc>
        <w:tc>
          <w:tcPr>
            <w:tcW w:type="dxa" w:w="2560"/>
            <w:vAlign w:val="center"/>
          </w:tcPr>
          <w:p>
            <w:r>
              <w:rPr>
                <w:b w:val="false"/>
                <w:bCs w:val="false"/>
              </w:rPr>
              <w:t xml:space="preserve">Quarterly in arrears over 5 years</w:t>
            </w:r>
          </w:p>
        </w:tc>
      </w:tr>
      <w:tr>
        <w:tc>
          <w:tcPr>
            <w:tcW w:type="dxa" w:w="4200"/>
            <w:vAlign w:val="center"/>
          </w:tcPr>
          <w:p>
            <w:r>
              <w:rPr>
                <w:b w:val="false"/>
                <w:bCs w:val="false"/>
              </w:rPr>
              <w:t xml:space="preserve">Total Base Price (Estimate)</w:t>
            </w:r>
          </w:p>
        </w:tc>
        <w:tc>
          <w:tcPr>
            <w:tcW w:type="dxa" w:w="2600"/>
            <w:vAlign w:val="center"/>
          </w:tcPr>
          <w:p>
            <w:r>
              <w:rPr>
                <w:b w:val="false"/>
                <w:bCs w:val="false"/>
              </w:rPr>
              <w:t xml:space="preserve">₹18,45,00,000</w:t>
            </w:r>
          </w:p>
        </w:tc>
        <w:tc>
          <w:tcPr>
            <w:tcW w:type="dxa" w:w="2560"/>
            <w:vAlign w:val="center"/>
          </w:tcPr>
          <w:p>
            <w:r>
              <w:rPr>
                <w:b w:val="false"/>
                <w:bCs w:val="false"/>
              </w:rPr>
              <w:t xml:space="preserve">—</w:t>
            </w:r>
          </w:p>
        </w:tc>
      </w:tr>
      <w:tr>
        <w:tc>
          <w:tcPr>
            <w:tcW w:type="dxa" w:w="4200"/>
            <w:vAlign w:val="center"/>
          </w:tcPr>
          <w:p>
            <w:r>
              <w:rPr>
                <w:b w:val="false"/>
                <w:bCs w:val="false"/>
              </w:rPr>
              <w:t xml:space="preserve">GST @ 13.8% (effective, blended)</w:t>
            </w:r>
          </w:p>
        </w:tc>
        <w:tc>
          <w:tcPr>
            <w:tcW w:type="dxa" w:w="2600"/>
            <w:vAlign w:val="center"/>
          </w:tcPr>
          <w:p>
            <w:r>
              <w:rPr>
                <w:b w:val="false"/>
                <w:bCs w:val="false"/>
              </w:rPr>
              <w:t xml:space="preserve">₹2,54,61,000</w:t>
            </w:r>
          </w:p>
        </w:tc>
        <w:tc>
          <w:tcPr>
            <w:tcW w:type="dxa" w:w="2560"/>
            <w:vAlign w:val="center"/>
          </w:tcPr>
          <w:p>
            <w:r>
              <w:rPr>
                <w:b w:val="false"/>
                <w:bCs w:val="false"/>
              </w:rPr>
              <w:t xml:space="preserve">As applicable</w:t>
            </w:r>
          </w:p>
        </w:tc>
      </w:tr>
      <w:tr>
        <w:tc>
          <w:tcPr>
            <w:tcW w:type="dxa" w:w="4200"/>
            <w:vAlign w:val="center"/>
          </w:tcPr>
          <w:p>
            <w:r>
              <w:rPr>
                <w:b w:val="false"/>
                <w:bCs w:val="false"/>
              </w:rPr>
              <w:t xml:space="preserve">Total Bid Value (Estimate, incl. GST)</w:t>
            </w:r>
          </w:p>
        </w:tc>
        <w:tc>
          <w:tcPr>
            <w:tcW w:type="dxa" w:w="2600"/>
            <w:vAlign w:val="center"/>
          </w:tcPr>
          <w:p>
            <w:r>
              <w:rPr>
                <w:b w:val="false"/>
                <w:bCs w:val="false"/>
              </w:rPr>
              <w:t xml:space="preserve">₹20,99,61,000</w:t>
            </w:r>
          </w:p>
        </w:tc>
        <w:tc>
          <w:tcPr>
            <w:tcW w:type="dxa" w:w="2560"/>
            <w:vAlign w:val="center"/>
          </w:tcPr>
          <w:p>
            <w:r>
              <w:rPr>
                <w:b w:val="false"/>
                <w:bCs w:val="false"/>
              </w:rPr>
              <w:t xml:space="preserve">—</w:t>
            </w:r>
          </w:p>
        </w:tc>
      </w:tr>
    </w:tbl>
    <w:p>
      <w:pPr>
        <w:pStyle w:val="Heading1"/>
        <w:spacing w:after="150" w:before="300"/>
      </w:pPr>
      <w:r>
        <w:t xml:space="preserve">7. Project Milestones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shd w:fill="1F4E79" w:val="clear"/>
            <w:vAlign w:val="center"/>
          </w:tcPr>
          <w:p>
            <w:r>
              <w:rPr>
                <w:b/>
                <w:bCs/>
                <w:color w:val="FFFFFF"/>
              </w:rPr>
              <w:t xml:space="preserve">Milestone</w:t>
            </w:r>
          </w:p>
        </w:tc>
        <w:tc>
          <w:tcPr>
            <w:tcW w:type="dxa" w:w="3600"/>
            <w:shd w:fill="1F4E79" w:val="clear"/>
            <w:vAlign w:val="center"/>
          </w:tcPr>
          <w:p>
            <w:r>
              <w:rPr>
                <w:b/>
                <w:bCs/>
                <w:color w:val="FFFFFF"/>
              </w:rPr>
              <w:t xml:space="preserve">Deliverable</w:t>
            </w:r>
          </w:p>
        </w:tc>
        <w:tc>
          <w:tcPr>
            <w:tcW w:type="dxa" w:w="2560"/>
            <w:shd w:fill="1F4E79" w:val="clear"/>
            <w:vAlign w:val="center"/>
          </w:tcPr>
          <w:p>
            <w:r>
              <w:rPr>
                <w:b/>
                <w:bCs/>
                <w:color w:val="FFFFFF"/>
              </w:rPr>
              <w:t xml:space="preserve">Timeline (from LOI date)</w:t>
            </w:r>
          </w:p>
        </w:tc>
      </w:tr>
      <w:tr>
        <w:tc>
          <w:tcPr>
            <w:tcW w:type="dxa" w:w="3200"/>
            <w:vAlign w:val="center"/>
          </w:tcPr>
          <w:p>
            <w:r>
              <w:rPr>
                <w:b w:val="false"/>
                <w:bCs w:val="false"/>
              </w:rPr>
              <w:t xml:space="preserve">M1 - Mobilization</w:t>
            </w:r>
          </w:p>
        </w:tc>
        <w:tc>
          <w:tcPr>
            <w:tcW w:type="dxa" w:w="3600"/>
            <w:vAlign w:val="center"/>
          </w:tcPr>
          <w:p>
            <w:r>
              <w:rPr>
                <w:b w:val="false"/>
                <w:bCs w:val="false"/>
              </w:rPr>
              <w:t xml:space="preserve">Mobilization of team, insurance, PBG submission</w:t>
            </w:r>
          </w:p>
        </w:tc>
        <w:tc>
          <w:tcPr>
            <w:tcW w:type="dxa" w:w="2560"/>
            <w:vAlign w:val="center"/>
          </w:tcPr>
          <w:p>
            <w:r>
              <w:rPr>
                <w:b w:val="false"/>
                <w:bCs w:val="false"/>
              </w:rPr>
              <w:t xml:space="preserve">T + 15 days</w:t>
            </w:r>
          </w:p>
        </w:tc>
      </w:tr>
      <w:tr>
        <w:tc>
          <w:tcPr>
            <w:tcW w:type="dxa" w:w="3200"/>
            <w:vAlign w:val="center"/>
          </w:tcPr>
          <w:p>
            <w:r>
              <w:rPr>
                <w:b w:val="false"/>
                <w:bCs w:val="false"/>
              </w:rPr>
              <w:t xml:space="preserve">M2 - Design Approval</w:t>
            </w:r>
          </w:p>
        </w:tc>
        <w:tc>
          <w:tcPr>
            <w:tcW w:type="dxa" w:w="3600"/>
            <w:vAlign w:val="center"/>
          </w:tcPr>
          <w:p>
            <w:r>
              <w:rPr>
                <w:b w:val="false"/>
                <w:bCs w:val="false"/>
              </w:rPr>
              <w:t xml:space="preserve">Detailed engineering design &amp; drawings approved by GSPCL</w:t>
            </w:r>
          </w:p>
        </w:tc>
        <w:tc>
          <w:tcPr>
            <w:tcW w:type="dxa" w:w="2560"/>
            <w:vAlign w:val="center"/>
          </w:tcPr>
          <w:p>
            <w:r>
              <w:rPr>
                <w:b w:val="false"/>
                <w:bCs w:val="false"/>
              </w:rPr>
              <w:t xml:space="preserve">T + 45 days</w:t>
            </w:r>
          </w:p>
        </w:tc>
      </w:tr>
      <w:tr>
        <w:tc>
          <w:tcPr>
            <w:tcW w:type="dxa" w:w="3200"/>
            <w:vAlign w:val="center"/>
          </w:tcPr>
          <w:p>
            <w:r>
              <w:rPr>
                <w:b w:val="false"/>
                <w:bCs w:val="false"/>
              </w:rPr>
              <w:t xml:space="preserve">M3 - Land Development</w:t>
            </w:r>
          </w:p>
        </w:tc>
        <w:tc>
          <w:tcPr>
            <w:tcW w:type="dxa" w:w="3600"/>
            <w:vAlign w:val="center"/>
          </w:tcPr>
          <w:p>
            <w:r>
              <w:rPr>
                <w:b w:val="false"/>
                <w:bCs w:val="false"/>
              </w:rPr>
              <w:t xml:space="preserve">Site clearance, fencing, internal roads complete</w:t>
            </w:r>
          </w:p>
        </w:tc>
        <w:tc>
          <w:tcPr>
            <w:tcW w:type="dxa" w:w="2560"/>
            <w:vAlign w:val="center"/>
          </w:tcPr>
          <w:p>
            <w:r>
              <w:rPr>
                <w:b w:val="false"/>
                <w:bCs w:val="false"/>
              </w:rPr>
              <w:t xml:space="preserve">T + 90 days</w:t>
            </w:r>
          </w:p>
        </w:tc>
      </w:tr>
      <w:tr>
        <w:tc>
          <w:tcPr>
            <w:tcW w:type="dxa" w:w="3200"/>
            <w:vAlign w:val="center"/>
          </w:tcPr>
          <w:p>
            <w:r>
              <w:rPr>
                <w:b w:val="false"/>
                <w:bCs w:val="false"/>
              </w:rPr>
              <w:t xml:space="preserve">M4 - Module &amp; Equipment Delivery</w:t>
            </w:r>
          </w:p>
        </w:tc>
        <w:tc>
          <w:tcPr>
            <w:tcW w:type="dxa" w:w="3600"/>
            <w:vAlign w:val="center"/>
          </w:tcPr>
          <w:p>
            <w:r>
              <w:rPr>
                <w:b w:val="false"/>
                <w:bCs w:val="false"/>
              </w:rPr>
              <w:t xml:space="preserve">PV modules, inverters, BOS delivered to site</w:t>
            </w:r>
          </w:p>
        </w:tc>
        <w:tc>
          <w:tcPr>
            <w:tcW w:type="dxa" w:w="2560"/>
            <w:vAlign w:val="center"/>
          </w:tcPr>
          <w:p>
            <w:r>
              <w:rPr>
                <w:b w:val="false"/>
                <w:bCs w:val="false"/>
              </w:rPr>
              <w:t xml:space="preserve">T + 150 days</w:t>
            </w:r>
          </w:p>
        </w:tc>
      </w:tr>
      <w:tr>
        <w:tc>
          <w:tcPr>
            <w:tcW w:type="dxa" w:w="3200"/>
            <w:vAlign w:val="center"/>
          </w:tcPr>
          <w:p>
            <w:r>
              <w:rPr>
                <w:b w:val="false"/>
                <w:bCs w:val="false"/>
              </w:rPr>
              <w:t xml:space="preserve">M5 - Structure Erection &amp; Module Mounting</w:t>
            </w:r>
          </w:p>
        </w:tc>
        <w:tc>
          <w:tcPr>
            <w:tcW w:type="dxa" w:w="3600"/>
            <w:vAlign w:val="center"/>
          </w:tcPr>
          <w:p>
            <w:r>
              <w:rPr>
                <w:b w:val="false"/>
                <w:bCs w:val="false"/>
              </w:rPr>
              <w:t xml:space="preserve">Mechanical installation complete</w:t>
            </w:r>
          </w:p>
        </w:tc>
        <w:tc>
          <w:tcPr>
            <w:tcW w:type="dxa" w:w="2560"/>
            <w:vAlign w:val="center"/>
          </w:tcPr>
          <w:p>
            <w:r>
              <w:rPr>
                <w:b w:val="false"/>
                <w:bCs w:val="false"/>
              </w:rPr>
              <w:t xml:space="preserve">T + 210 days</w:t>
            </w:r>
          </w:p>
        </w:tc>
      </w:tr>
      <w:tr>
        <w:tc>
          <w:tcPr>
            <w:tcW w:type="dxa" w:w="3200"/>
            <w:vAlign w:val="center"/>
          </w:tcPr>
          <w:p>
            <w:r>
              <w:rPr>
                <w:b w:val="false"/>
                <w:bCs w:val="false"/>
              </w:rPr>
              <w:t xml:space="preserve">M6 - Electrical BOP &amp; Switchyard</w:t>
            </w:r>
          </w:p>
        </w:tc>
        <w:tc>
          <w:tcPr>
            <w:tcW w:type="dxa" w:w="3600"/>
            <w:vAlign w:val="center"/>
          </w:tcPr>
          <w:p>
            <w:r>
              <w:rPr>
                <w:b w:val="false"/>
                <w:bCs w:val="false"/>
              </w:rPr>
              <w:t xml:space="preserve">Cabling, transformer, switchyard complete</w:t>
            </w:r>
          </w:p>
        </w:tc>
        <w:tc>
          <w:tcPr>
            <w:tcW w:type="dxa" w:w="2560"/>
            <w:vAlign w:val="center"/>
          </w:tcPr>
          <w:p>
            <w:r>
              <w:rPr>
                <w:b w:val="false"/>
                <w:bCs w:val="false"/>
              </w:rPr>
              <w:t xml:space="preserve">T + 240 days</w:t>
            </w:r>
          </w:p>
        </w:tc>
      </w:tr>
      <w:tr>
        <w:tc>
          <w:tcPr>
            <w:tcW w:type="dxa" w:w="3200"/>
            <w:vAlign w:val="center"/>
          </w:tcPr>
          <w:p>
            <w:r>
              <w:rPr>
                <w:b w:val="false"/>
                <w:bCs w:val="false"/>
              </w:rPr>
              <w:t xml:space="preserve">M7 - Grid Synchronization &amp; Testing</w:t>
            </w:r>
          </w:p>
        </w:tc>
        <w:tc>
          <w:tcPr>
            <w:tcW w:type="dxa" w:w="3600"/>
            <w:vAlign w:val="center"/>
          </w:tcPr>
          <w:p>
            <w:r>
              <w:rPr>
                <w:b w:val="false"/>
                <w:bCs w:val="false"/>
              </w:rPr>
              <w:t xml:space="preserve">Successful test synchronization with grid</w:t>
            </w:r>
          </w:p>
        </w:tc>
        <w:tc>
          <w:tcPr>
            <w:tcW w:type="dxa" w:w="2560"/>
            <w:vAlign w:val="center"/>
          </w:tcPr>
          <w:p>
            <w:r>
              <w:rPr>
                <w:b w:val="false"/>
                <w:bCs w:val="false"/>
              </w:rPr>
              <w:t xml:space="preserve">T + 260 days</w:t>
            </w:r>
          </w:p>
        </w:tc>
      </w:tr>
      <w:tr>
        <w:tc>
          <w:tcPr>
            <w:tcW w:type="dxa" w:w="3200"/>
            <w:vAlign w:val="center"/>
          </w:tcPr>
          <w:p>
            <w:r>
              <w:rPr>
                <w:b w:val="false"/>
                <w:bCs w:val="false"/>
              </w:rPr>
              <w:t xml:space="preserve">M8 - Commercial Operation Date (COD)</w:t>
            </w:r>
          </w:p>
        </w:tc>
        <w:tc>
          <w:tcPr>
            <w:tcW w:type="dxa" w:w="3600"/>
            <w:vAlign w:val="center"/>
          </w:tcPr>
          <w:p>
            <w:r>
              <w:rPr>
                <w:b w:val="false"/>
                <w:bCs w:val="false"/>
              </w:rPr>
              <w:t xml:space="preserve">Plant achieves full 5 MW output, handover to GSPCL</w:t>
            </w:r>
          </w:p>
        </w:tc>
        <w:tc>
          <w:tcPr>
            <w:tcW w:type="dxa" w:w="2560"/>
            <w:vAlign w:val="center"/>
          </w:tcPr>
          <w:p>
            <w:r>
              <w:rPr>
                <w:b w:val="false"/>
                <w:bCs w:val="false"/>
              </w:rPr>
              <w:t xml:space="preserve">T + 270 days (9 months)</w:t>
            </w:r>
          </w:p>
        </w:tc>
      </w:tr>
      <w:tr>
        <w:tc>
          <w:tcPr>
            <w:tcW w:type="dxa" w:w="3200"/>
            <w:vAlign w:val="center"/>
          </w:tcPr>
          <w:p>
            <w:r>
              <w:rPr>
                <w:b w:val="false"/>
                <w:bCs w:val="false"/>
              </w:rPr>
              <w:t xml:space="preserve">M9 - Defect Liability Period</w:t>
            </w:r>
          </w:p>
        </w:tc>
        <w:tc>
          <w:tcPr>
            <w:tcW w:type="dxa" w:w="3600"/>
            <w:vAlign w:val="center"/>
          </w:tcPr>
          <w:p>
            <w:r>
              <w:rPr>
                <w:b w:val="false"/>
                <w:bCs w:val="false"/>
              </w:rPr>
              <w:t xml:space="preserve">12 months post-COD, followed by 5-year O&amp;M</w:t>
            </w:r>
          </w:p>
        </w:tc>
        <w:tc>
          <w:tcPr>
            <w:tcW w:type="dxa" w:w="2560"/>
            <w:vAlign w:val="center"/>
          </w:tcPr>
          <w:p>
            <w:r>
              <w:rPr>
                <w:b w:val="false"/>
                <w:bCs w:val="false"/>
              </w:rPr>
              <w:t xml:space="preserve">T + 270 to T + 630 days</w:t>
            </w:r>
          </w:p>
        </w:tc>
      </w:tr>
    </w:tbl>
    <w:p>
      <w:pPr>
        <w:pStyle w:val="Heading1"/>
        <w:spacing w:after="150" w:before="300"/>
      </w:pPr>
      <w:r>
        <w:t xml:space="preserve">8. General Terms &amp; Conditions</w:t>
      </w:r>
    </w:p>
    <w:p>
      <w:pPr>
        <w:pStyle w:val="ListParagraph"/>
        <w:numPr>
          <w:ilvl w:val="0"/>
          <w:numId w:val="2"/>
        </w:numPr>
        <w:spacing w:after="60"/>
      </w:pPr>
      <w:r>
        <w:t xml:space="preserve">Bid Validity: 120 days from Financial Bid opening date.</w:t>
      </w:r>
    </w:p>
    <w:p>
      <w:pPr>
        <w:pStyle w:val="ListParagraph"/>
        <w:numPr>
          <w:ilvl w:val="0"/>
          <w:numId w:val="2"/>
        </w:numPr>
        <w:spacing w:after="60"/>
      </w:pPr>
      <w:r>
        <w:t xml:space="preserve">Delivery/Completion Period: 9 months (270 days) from date of LOI, achieving COD.</w:t>
      </w:r>
    </w:p>
    <w:p>
      <w:pPr>
        <w:pStyle w:val="ListParagraph"/>
        <w:numPr>
          <w:ilvl w:val="0"/>
          <w:numId w:val="2"/>
        </w:numPr>
        <w:spacing w:after="60"/>
      </w:pPr>
      <w:r>
        <w:t xml:space="preserve">Liquidated Damages (LD): 0.5% of Contract Value per week of delay, subject to a maximum cap of 10% of Contract Value.</w:t>
      </w:r>
    </w:p>
    <w:p>
      <w:pPr>
        <w:pStyle w:val="ListParagraph"/>
        <w:numPr>
          <w:ilvl w:val="0"/>
          <w:numId w:val="2"/>
        </w:numPr>
        <w:spacing w:after="60"/>
      </w:pPr>
      <w:r>
        <w:t xml:space="preserve">Defect Liability Period (DLP): 12 months from COD, followed immediately by the 5-year O&amp;M contract.</w:t>
      </w:r>
    </w:p>
    <w:p>
      <w:pPr>
        <w:pStyle w:val="ListParagraph"/>
        <w:numPr>
          <w:ilvl w:val="0"/>
          <w:numId w:val="2"/>
        </w:numPr>
        <w:spacing w:after="60"/>
      </w:pPr>
      <w:r>
        <w:t xml:space="preserve">Force Majeure: As per standard GSPCL General Conditions of Contract (GCC), Clause 22.</w:t>
      </w:r>
    </w:p>
    <w:p>
      <w:pPr>
        <w:pStyle w:val="ListParagraph"/>
        <w:numPr>
          <w:ilvl w:val="0"/>
          <w:numId w:val="2"/>
        </w:numPr>
        <w:spacing w:after="60"/>
      </w:pPr>
      <w:r>
        <w:t xml:space="preserve">Dispute Resolution: Arbitration under the Arbitration &amp; Conciliation Act, 1996, seat at Gandhinagar; Gujraat courts shall have exclusive jurisdiction.</w:t>
      </w:r>
    </w:p>
    <w:p>
      <w:pPr>
        <w:pStyle w:val="ListParagraph"/>
        <w:numPr>
          <w:ilvl w:val="0"/>
          <w:numId w:val="2"/>
        </w:numPr>
        <w:spacing w:after="60"/>
      </w:pPr>
      <w:r>
        <w:t xml:space="preserve">Insurance: Contractor to maintain Contractor's All Risk (CAR) Insurance and Third-Party Liability Insurance for the full contract duration.</w:t>
      </w:r>
    </w:p>
    <w:p>
      <w:pPr>
        <w:pStyle w:val="ListParagraph"/>
        <w:numPr>
          <w:ilvl w:val="0"/>
          <w:numId w:val="2"/>
        </w:numPr>
        <w:spacing w:after="60"/>
      </w:pPr>
      <w:r>
        <w:t xml:space="preserve">Taxes: GST shall be charged extra at applicable rates; all other duties, cess and levies to be included in quoted price.</w:t>
      </w:r>
    </w:p>
    <w:p>
      <w:pPr>
        <w:pStyle w:val="ListParagraph"/>
        <w:numPr>
          <w:ilvl w:val="0"/>
          <w:numId w:val="2"/>
        </w:numPr>
        <w:spacing w:after="60"/>
      </w:pPr>
      <w:r>
        <w:t xml:space="preserve">GSPCL reserves the right to accept or reject any or all bids without assigning any reason, and to waive minor infirmities/deviations at its sole discretion.</w:t>
      </w:r>
    </w:p>
    <w:p>
      <w:pPr>
        <w:pStyle w:val="Heading1"/>
        <w:spacing w:after="150" w:before="300"/>
      </w:pPr>
      <w:r>
        <w:t xml:space="preserve">9. Bid Submission Requirements</w:t>
      </w:r>
    </w:p>
    <w:p>
      <w:pPr>
        <w:spacing w:after="120"/>
      </w:pPr>
      <w:r>
        <w:t xml:space="preserve">Bids shall be submitted online via the GSPCL e-Procurement Portal in two separate envelopes (digitally sealed):</w:t>
      </w:r>
    </w:p>
    <w:p>
      <w:pPr>
        <w:pStyle w:val="Heading2"/>
        <w:spacing w:after="120" w:before="240"/>
      </w:pPr>
      <w:r>
        <w:t xml:space="preserve">Envelope 1 - Technical Bid (must NOT contain any price information)</w:t>
      </w:r>
    </w:p>
    <w:p>
      <w:pPr>
        <w:pStyle w:val="ListParagraph"/>
        <w:numPr>
          <w:ilvl w:val="0"/>
          <w:numId w:val="2"/>
        </w:numPr>
        <w:spacing w:after="60"/>
      </w:pPr>
      <w:r>
        <w:t xml:space="preserve">Bid Submission Form (Annexure-A), duly signed and sealed</w:t>
      </w:r>
    </w:p>
    <w:p>
      <w:pPr>
        <w:pStyle w:val="ListParagraph"/>
        <w:numPr>
          <w:ilvl w:val="0"/>
          <w:numId w:val="2"/>
        </w:numPr>
        <w:spacing w:after="60"/>
      </w:pPr>
      <w:r>
        <w:t xml:space="preserve">EMD instrument (Bank Guarantee / DD)</w:t>
      </w:r>
    </w:p>
    <w:p>
      <w:pPr>
        <w:pStyle w:val="ListParagraph"/>
        <w:numPr>
          <w:ilvl w:val="0"/>
          <w:numId w:val="2"/>
        </w:numPr>
        <w:spacing w:after="60"/>
      </w:pPr>
      <w:r>
        <w:t xml:space="preserve">Eligibility documents as per Section 2 (turnover certificates, experience certificates, ISO certificates, registrations)</w:t>
      </w:r>
    </w:p>
    <w:p>
      <w:pPr>
        <w:pStyle w:val="ListParagraph"/>
        <w:numPr>
          <w:ilvl w:val="0"/>
          <w:numId w:val="2"/>
        </w:numPr>
        <w:spacing w:after="60"/>
      </w:pPr>
      <w:r>
        <w:t xml:space="preserve">Blacklisting declaration (self-certified, notarized)</w:t>
      </w:r>
    </w:p>
    <w:p>
      <w:pPr>
        <w:pStyle w:val="ListParagraph"/>
        <w:numPr>
          <w:ilvl w:val="0"/>
          <w:numId w:val="2"/>
        </w:numPr>
        <w:spacing w:after="60"/>
      </w:pPr>
      <w:r>
        <w:t xml:space="preserve">Technical Proposal: design basis, equipment datasheets, execution methodology, project schedule (bar chart), manpower deployment plan, list of key equipment/machinery</w:t>
      </w:r>
    </w:p>
    <w:p>
      <w:pPr>
        <w:pStyle w:val="ListParagraph"/>
        <w:numPr>
          <w:ilvl w:val="0"/>
          <w:numId w:val="2"/>
        </w:numPr>
        <w:spacing w:after="60"/>
      </w:pPr>
      <w:r>
        <w:t xml:space="preserve">Power of Attorney authorizing the signatory</w:t>
      </w:r>
    </w:p>
    <w:p>
      <w:pPr>
        <w:pStyle w:val="Heading2"/>
        <w:spacing w:after="120" w:before="240"/>
      </w:pPr>
      <w:r>
        <w:t xml:space="preserve">Envelope 2 - Financial Bid</w:t>
      </w:r>
    </w:p>
    <w:p>
      <w:pPr>
        <w:pStyle w:val="ListParagraph"/>
        <w:numPr>
          <w:ilvl w:val="0"/>
          <w:numId w:val="2"/>
        </w:numPr>
        <w:spacing w:after="60"/>
      </w:pPr>
      <w:r>
        <w:t xml:space="preserve">Price Schedule in the format prescribed in Section 6, component-wise, with Total Base Price, GST, and Total Bid Value clearly indicated</w:t>
      </w:r>
    </w:p>
    <w:p>
      <w:pPr>
        <w:pStyle w:val="ListParagraph"/>
        <w:numPr>
          <w:ilvl w:val="0"/>
          <w:numId w:val="2"/>
        </w:numPr>
        <w:spacing w:after="60"/>
      </w:pPr>
      <w:r>
        <w:t xml:space="preserve">Financial Bid Form (Annexure-B), duly signed and sealed</w:t>
      </w:r>
    </w:p>
    <w:p>
      <w:pPr>
        <w:spacing w:after="120"/>
      </w:pPr>
      <w:r>
        <w:t xml:space="preserve">All pages of the bid must be signed and stamped by the authorized signatory. Bids submitted after the due date/time, or in incomplete/incorrect format, shall be summarily rejected. All correspondence shall be in English.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2026-09-03T06:42:56.956Z</dcterms:created>
  <dcterms:modified xsi:type="dcterms:W3CDTF">2026-09-03T06:42:56.970Z</dcterms:modified>
</cp:coreProperties>
</file>

<file path=docProps/custom.xml><?xml version="1.0" encoding="utf-8"?>
<Properties xmlns="http://schemas.openxmlformats.org/officeDocument/2006/custom-properties" xmlns:vt="http://schemas.openxmlformats.org/officeDocument/2006/docPropsVTypes"/>
</file>