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GUJRAAT STATE ELECTRICITY TRANSMISSION CORPORATION LIMITED</w:t>
      </w:r>
    </w:p>
    <w:p>
      <w:pPr>
        <w:spacing w:after="300"/>
        <w:jc w:val="center"/>
      </w:pPr>
      <w:r>
        <w:rPr>
          <w:i/>
          <w:iCs/>
          <w:sz w:val="22"/>
          <w:szCs w:val="22"/>
        </w:rPr>
        <w:t xml:space="preserve">(GSETCL - A Government of Gujraat Undertaking)</w:t>
      </w:r>
    </w:p>
    <w:p>
      <w:pPr>
        <w:spacing w:after="400"/>
        <w:jc w:val="center"/>
      </w:pPr>
      <w:r>
        <w:rPr>
          <w:b/>
          <w:bCs/>
          <w:sz w:val="26"/>
          <w:szCs w:val="26"/>
        </w:rPr>
        <w:t xml:space="preserve">TENDER DOCUMENT   Design, Engineering, Supply, Erection, Testing and Commissioning (Turnkey) of a new 132kV/33kV, 2x40 MVA Grid Substation at Morbi, Gujraat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vAlign w:val="center"/>
          </w:tcPr>
          <w:p>
            <w:r>
              <w:rPr>
                <w:b/>
                <w:bCs/>
                <w:color w:val="FFFFFF"/>
              </w:rPr>
              <w:t xml:space="preserve">Field</w:t>
            </w:r>
          </w:p>
        </w:tc>
        <w:tc>
          <w:tcPr>
            <w:tcW w:type="dxa" w:w="6360"/>
            <w:shd w:fill="1F4E79" w:val="clear"/>
            <w:vAlign w:val="center"/>
          </w:tcPr>
          <w:p>
            <w:r>
              <w:rPr>
                <w:b/>
                <w:bCs/>
                <w:color w:val="FFFFFF"/>
              </w:rPr>
              <w:t xml:space="preserve">Details</w:t>
            </w:r>
          </w:p>
        </w:tc>
      </w:tr>
      <w:tr>
        <w:tc>
          <w:tcPr>
            <w:tcW w:type="dxa" w:w="3000"/>
            <w:vAlign w:val="center"/>
          </w:tcPr>
          <w:p>
            <w:r>
              <w:rPr>
                <w:b w:val="false"/>
                <w:bCs w:val="false"/>
              </w:rPr>
              <w:t xml:space="preserve">Tender Reference No.</w:t>
            </w:r>
          </w:p>
        </w:tc>
        <w:tc>
          <w:tcPr>
            <w:tcW w:type="dxa" w:w="6360"/>
            <w:vAlign w:val="center"/>
          </w:tcPr>
          <w:p>
            <w:r>
              <w:rPr>
                <w:b w:val="false"/>
                <w:bCs w:val="false"/>
              </w:rPr>
              <w:t xml:space="preserve">GSETCL/SS-MORBI/2026/EPC-021</w:t>
            </w:r>
          </w:p>
        </w:tc>
      </w:tr>
      <w:tr>
        <w:tc>
          <w:tcPr>
            <w:tcW w:type="dxa" w:w="3000"/>
            <w:vAlign w:val="center"/>
          </w:tcPr>
          <w:p>
            <w:r>
              <w:rPr>
                <w:b w:val="false"/>
                <w:bCs w:val="false"/>
              </w:rPr>
              <w:t xml:space="preserve">Issuing Authority</w:t>
            </w:r>
          </w:p>
        </w:tc>
        <w:tc>
          <w:tcPr>
            <w:tcW w:type="dxa" w:w="6360"/>
            <w:vAlign w:val="center"/>
          </w:tcPr>
          <w:p>
            <w:r>
              <w:rPr>
                <w:b w:val="false"/>
                <w:bCs w:val="false"/>
              </w:rPr>
              <w:t xml:space="preserve">Gujraat State Electricity Transmission Corporation Limited (GSETCL)</w:t>
            </w:r>
          </w:p>
        </w:tc>
      </w:tr>
      <w:tr>
        <w:tc>
          <w:tcPr>
            <w:tcW w:type="dxa" w:w="3000"/>
            <w:vAlign w:val="center"/>
          </w:tcPr>
          <w:p>
            <w:r>
              <w:rPr>
                <w:b w:val="false"/>
                <w:bCs w:val="false"/>
              </w:rPr>
              <w:t xml:space="preserve">Mode of Tendering</w:t>
            </w:r>
          </w:p>
        </w:tc>
        <w:tc>
          <w:tcPr>
            <w:tcW w:type="dxa" w:w="6360"/>
            <w:vAlign w:val="center"/>
          </w:tcPr>
          <w:p>
            <w:r>
              <w:rPr>
                <w:b w:val="false"/>
                <w:bCs w:val="false"/>
              </w:rPr>
              <w:t xml:space="preserve">Two-Envelope System (Technical Bid + Price Bid), e-Procurement Portal</w:t>
            </w:r>
          </w:p>
        </w:tc>
      </w:tr>
      <w:tr>
        <w:tc>
          <w:tcPr>
            <w:tcW w:type="dxa" w:w="3000"/>
            <w:vAlign w:val="center"/>
          </w:tcPr>
          <w:p>
            <w:r>
              <w:rPr>
                <w:b w:val="false"/>
                <w:bCs w:val="false"/>
              </w:rPr>
              <w:t xml:space="preserve">Tender Fee</w:t>
            </w:r>
          </w:p>
        </w:tc>
        <w:tc>
          <w:tcPr>
            <w:tcW w:type="dxa" w:w="6360"/>
            <w:vAlign w:val="center"/>
          </w:tcPr>
          <w:p>
            <w:r>
              <w:rPr>
                <w:b w:val="false"/>
                <w:bCs w:val="false"/>
              </w:rPr>
              <w:t xml:space="preserve">₹15,000 (Non-refundable)</w:t>
            </w:r>
          </w:p>
        </w:tc>
      </w:tr>
      <w:tr>
        <w:tc>
          <w:tcPr>
            <w:tcW w:type="dxa" w:w="3000"/>
            <w:vAlign w:val="center"/>
          </w:tcPr>
          <w:p>
            <w:r>
              <w:rPr>
                <w:b w:val="false"/>
                <w:bCs w:val="false"/>
              </w:rPr>
              <w:t xml:space="preserve">Earnest Money Deposit (EMD)</w:t>
            </w:r>
          </w:p>
        </w:tc>
        <w:tc>
          <w:tcPr>
            <w:tcW w:type="dxa" w:w="6360"/>
            <w:vAlign w:val="center"/>
          </w:tcPr>
          <w:p>
            <w:r>
              <w:rPr>
                <w:b w:val="false"/>
                <w:bCs w:val="false"/>
              </w:rPr>
              <w:t xml:space="preserve">₹1,20,00,000 (Refundable, or 2% of quoted Bid Value, whichever is higher)</w:t>
            </w:r>
          </w:p>
        </w:tc>
      </w:tr>
      <w:tr>
        <w:tc>
          <w:tcPr>
            <w:tcW w:type="dxa" w:w="3000"/>
            <w:vAlign w:val="center"/>
          </w:tcPr>
          <w:p>
            <w:r>
              <w:rPr>
                <w:b w:val="false"/>
                <w:bCs w:val="false"/>
              </w:rPr>
              <w:t xml:space="preserve">Bid Validity</w:t>
            </w:r>
          </w:p>
        </w:tc>
        <w:tc>
          <w:tcPr>
            <w:tcW w:type="dxa" w:w="6360"/>
            <w:vAlign w:val="center"/>
          </w:tcPr>
          <w:p>
            <w:r>
              <w:rPr>
                <w:b w:val="false"/>
                <w:bCs w:val="false"/>
              </w:rPr>
              <w:t xml:space="preserve">150 days from the date of Price Bid opening</w:t>
            </w:r>
          </w:p>
        </w:tc>
      </w:tr>
      <w:tr>
        <w:tc>
          <w:tcPr>
            <w:tcW w:type="dxa" w:w="3000"/>
            <w:vAlign w:val="center"/>
          </w:tcPr>
          <w:p>
            <w:r>
              <w:rPr>
                <w:b w:val="false"/>
                <w:bCs w:val="false"/>
              </w:rPr>
              <w:t xml:space="preserve">Date of Issue</w:t>
            </w:r>
          </w:p>
        </w:tc>
        <w:tc>
          <w:tcPr>
            <w:tcW w:type="dxa" w:w="6360"/>
            <w:vAlign w:val="center"/>
          </w:tcPr>
          <w:p>
            <w:r>
              <w:rPr>
                <w:b w:val="false"/>
                <w:bCs w:val="false"/>
              </w:rPr>
              <w:t xml:space="preserve">05-Jan-2026</w:t>
            </w:r>
          </w:p>
        </w:tc>
      </w:tr>
      <w:tr>
        <w:tc>
          <w:tcPr>
            <w:tcW w:type="dxa" w:w="3000"/>
            <w:vAlign w:val="center"/>
          </w:tcPr>
          <w:p>
            <w:r>
              <w:rPr>
                <w:b w:val="false"/>
                <w:bCs w:val="false"/>
              </w:rPr>
              <w:t xml:space="preserve">Pre-Bid Meeting</w:t>
            </w:r>
          </w:p>
        </w:tc>
        <w:tc>
          <w:tcPr>
            <w:tcW w:type="dxa" w:w="6360"/>
            <w:vAlign w:val="center"/>
          </w:tcPr>
          <w:p>
            <w:r>
              <w:rPr>
                <w:b w:val="false"/>
                <w:bCs w:val="false"/>
              </w:rPr>
              <w:t xml:space="preserve">16-Jan-2026, 11:00 AM, GSETCL Corporate Office, Vadodara</w:t>
            </w:r>
          </w:p>
        </w:tc>
      </w:tr>
      <w:tr>
        <w:tc>
          <w:tcPr>
            <w:tcW w:type="dxa" w:w="3000"/>
            <w:vAlign w:val="center"/>
          </w:tcPr>
          <w:p>
            <w:r>
              <w:rPr>
                <w:b w:val="false"/>
                <w:bCs w:val="false"/>
              </w:rPr>
              <w:t xml:space="preserve">Last Date for Submission</w:t>
            </w:r>
          </w:p>
        </w:tc>
        <w:tc>
          <w:tcPr>
            <w:tcW w:type="dxa" w:w="6360"/>
            <w:vAlign w:val="center"/>
          </w:tcPr>
          <w:p>
            <w:r>
              <w:rPr>
                <w:b w:val="false"/>
                <w:bCs w:val="false"/>
              </w:rPr>
              <w:t xml:space="preserve">20-Feb-2026, 5:00 PM (IST)</w:t>
            </w:r>
          </w:p>
        </w:tc>
      </w:tr>
      <w:tr>
        <w:tc>
          <w:tcPr>
            <w:tcW w:type="dxa" w:w="3000"/>
            <w:vAlign w:val="center"/>
          </w:tcPr>
          <w:p>
            <w:r>
              <w:rPr>
                <w:b w:val="false"/>
                <w:bCs w:val="false"/>
              </w:rPr>
              <w:t xml:space="preserve">Technical Bid Opening</w:t>
            </w:r>
          </w:p>
        </w:tc>
        <w:tc>
          <w:tcPr>
            <w:tcW w:type="dxa" w:w="6360"/>
            <w:vAlign w:val="center"/>
          </w:tcPr>
          <w:p>
            <w:r>
              <w:rPr>
                <w:b w:val="false"/>
                <w:bCs w:val="false"/>
              </w:rPr>
              <w:t xml:space="preserve">21-Feb-2026, 11:00 AM (IST)</w:t>
            </w:r>
          </w:p>
        </w:tc>
      </w:tr>
      <w:tr>
        <w:tc>
          <w:tcPr>
            <w:tcW w:type="dxa" w:w="3000"/>
            <w:vAlign w:val="center"/>
          </w:tcPr>
          <w:p>
            <w:r>
              <w:rPr>
                <w:b w:val="false"/>
                <w:bCs w:val="false"/>
              </w:rPr>
              <w:t xml:space="preserve">Price Bid Opening</w:t>
            </w:r>
          </w:p>
        </w:tc>
        <w:tc>
          <w:tcPr>
            <w:tcW w:type="dxa" w:w="6360"/>
            <w:vAlign w:val="center"/>
          </w:tcPr>
          <w:p>
            <w:r>
              <w:rPr>
                <w:b w:val="false"/>
                <w:bCs w:val="false"/>
              </w:rPr>
              <w:t xml:space="preserve">Intimated to technically qualified bidders only</w:t>
            </w:r>
          </w:p>
        </w:tc>
      </w:tr>
    </w:tbl>
    <w:p>
      <w:r>
        <w:br w:type="page"/>
      </w:r>
    </w:p>
    <w:p>
      <w:pPr>
        <w:pStyle w:val="Heading1"/>
        <w:spacing w:after="150" w:before="300"/>
      </w:pPr>
      <w:r>
        <w:t xml:space="preserve">1. Scope of Work</w:t>
      </w:r>
    </w:p>
    <w:p>
      <w:pPr>
        <w:spacing w:after="120"/>
      </w:pPr>
      <w:r>
        <w:t xml:space="preserve">The Contractor shall carry out complete turnkey Engineering, Procurement and Construction (EPC) of a new 132kV/33kV, 2x40 MVA Grid Substation, including 132kV Air-Insulated Switchyard (AIS) with 4 bays (2 line bays, 1 transformer bay spare-provisioned, 1 bus coupler), 33kV indoor VCB switchgear with 12 feeder panels, associated civil works, control room building, and interconnecting 132kV transmission line termination, on the terms set out in this Tender Document, covering:</w:t>
      </w:r>
    </w:p>
    <w:p>
      <w:pPr>
        <w:pStyle w:val="ListParagraph"/>
        <w:numPr>
          <w:ilvl w:val="0"/>
          <w:numId w:val="2"/>
        </w:numPr>
        <w:spacing w:after="60"/>
      </w:pPr>
      <w:r>
        <w:t xml:space="preserve">Detailed engineering, design basis report, and drawings (GA, SLD, protection scheme, earthing, cable schedule)</w:t>
      </w:r>
    </w:p>
    <w:p>
      <w:pPr>
        <w:pStyle w:val="ListParagraph"/>
        <w:numPr>
          <w:ilvl w:val="0"/>
          <w:numId w:val="2"/>
        </w:numPr>
        <w:spacing w:after="60"/>
      </w:pPr>
      <w:r>
        <w:t xml:space="preserve">Supply of 2 x 40 MVA, 132/33kV power transformers with OLTC</w:t>
      </w:r>
    </w:p>
    <w:p>
      <w:pPr>
        <w:pStyle w:val="ListParagraph"/>
        <w:numPr>
          <w:ilvl w:val="0"/>
          <w:numId w:val="2"/>
        </w:numPr>
        <w:spacing w:after="60"/>
      </w:pPr>
      <w:r>
        <w:t xml:space="preserve">Supply and erection of 132kV AIS equipment (CBs, CTs, PTs, isolators, lightning arresters, bus-bar structures)</w:t>
      </w:r>
    </w:p>
    <w:p>
      <w:pPr>
        <w:pStyle w:val="ListParagraph"/>
        <w:numPr>
          <w:ilvl w:val="0"/>
          <w:numId w:val="2"/>
        </w:numPr>
        <w:spacing w:after="60"/>
      </w:pPr>
      <w:r>
        <w:t xml:space="preserve">Supply and erection of 33kV indoor VCB switchgear panels (12 feeders)</w:t>
      </w:r>
    </w:p>
    <w:p>
      <w:pPr>
        <w:pStyle w:val="ListParagraph"/>
        <w:numPr>
          <w:ilvl w:val="0"/>
          <w:numId w:val="2"/>
        </w:numPr>
        <w:spacing w:after="60"/>
      </w:pPr>
      <w:r>
        <w:t xml:space="preserve">Numerical protection &amp; control system, SCADA/RTU integration with State Load Despatch Centre (SLDC)</w:t>
      </w:r>
    </w:p>
    <w:p>
      <w:pPr>
        <w:pStyle w:val="ListParagraph"/>
        <w:numPr>
          <w:ilvl w:val="0"/>
          <w:numId w:val="2"/>
        </w:numPr>
        <w:spacing w:after="60"/>
      </w:pPr>
      <w:r>
        <w:t xml:space="preserve">Control &amp; Relay Panels (CRP), DC battery system, AC/DC distribution boards</w:t>
      </w:r>
    </w:p>
    <w:p>
      <w:pPr>
        <w:pStyle w:val="ListParagraph"/>
        <w:numPr>
          <w:ilvl w:val="0"/>
          <w:numId w:val="2"/>
        </w:numPr>
        <w:spacing w:after="60"/>
      </w:pPr>
      <w:r>
        <w:t xml:space="preserve">Civil works: control room building, cable trenches, equipment foundations, boundary wall, internal roads</w:t>
      </w:r>
    </w:p>
    <w:p>
      <w:pPr>
        <w:pStyle w:val="ListParagraph"/>
        <w:numPr>
          <w:ilvl w:val="0"/>
          <w:numId w:val="2"/>
        </w:numPr>
        <w:spacing w:after="60"/>
      </w:pPr>
      <w:r>
        <w:t xml:space="preserve">Earthing &amp; lightning protection system as per IS 3043</w:t>
      </w:r>
    </w:p>
    <w:p>
      <w:pPr>
        <w:pStyle w:val="ListParagraph"/>
        <w:numPr>
          <w:ilvl w:val="0"/>
          <w:numId w:val="2"/>
        </w:numPr>
        <w:spacing w:after="60"/>
      </w:pPr>
      <w:r>
        <w:t xml:space="preserve">Testing, pre-commissioning checks, and commissioning with State grid</w:t>
      </w:r>
    </w:p>
    <w:p>
      <w:pPr>
        <w:pStyle w:val="ListParagraph"/>
        <w:numPr>
          <w:ilvl w:val="0"/>
          <w:numId w:val="2"/>
        </w:numPr>
        <w:spacing w:after="60"/>
      </w:pPr>
      <w:r>
        <w:t xml:space="preserve">Comprehensive Operation &amp; Maintenance support and defect liability for 24 months post-commissioning</w:t>
      </w:r>
    </w:p>
    <w:p>
      <w:pPr>
        <w:pStyle w:val="Heading1"/>
        <w:spacing w:after="150" w:before="300"/>
      </w:pPr>
      <w:r>
        <w:t xml:space="preserve">2. Eligibility Criteria (Pre-Qualification)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shd w:fill="1F4E79" w:val="clear"/>
            <w:vAlign w:val="center"/>
          </w:tcPr>
          <w:p>
            <w:r>
              <w:rPr>
                <w:b/>
                <w:bCs/>
                <w:color w:val="FFFFFF"/>
              </w:rPr>
              <w:t xml:space="preserve">S.No.</w:t>
            </w:r>
          </w:p>
        </w:tc>
        <w:tc>
          <w:tcPr>
            <w:tcW w:type="dxa" w:w="3200"/>
            <w:shd w:fill="1F4E79" w:val="clear"/>
            <w:vAlign w:val="center"/>
          </w:tcPr>
          <w:p>
            <w:r>
              <w:rPr>
                <w:b/>
                <w:bCs/>
                <w:color w:val="FFFFFF"/>
              </w:rPr>
              <w:t xml:space="preserve">Criteria</w:t>
            </w:r>
          </w:p>
        </w:tc>
        <w:tc>
          <w:tcPr>
            <w:tcW w:type="dxa" w:w="5160"/>
            <w:shd w:fill="1F4E79" w:val="clear"/>
            <w:vAlign w:val="center"/>
          </w:tcPr>
          <w:p>
            <w:r>
              <w:rPr>
                <w:b/>
                <w:bCs/>
                <w:color w:val="FFFFFF"/>
              </w:rPr>
              <w:t xml:space="preserve">Requirement</w:t>
            </w:r>
          </w:p>
        </w:tc>
      </w:tr>
      <w:tr>
        <w:tc>
          <w:tcPr>
            <w:tcW w:type="dxa" w:w="1000"/>
            <w:vAlign w:val="center"/>
          </w:tcPr>
          <w:p>
            <w:r>
              <w:rPr>
                <w:b w:val="false"/>
                <w:bCs w:val="false"/>
              </w:rPr>
              <w:t xml:space="preserve">EC-1</w:t>
            </w:r>
          </w:p>
        </w:tc>
        <w:tc>
          <w:tcPr>
            <w:tcW w:type="dxa" w:w="3200"/>
            <w:vAlign w:val="center"/>
          </w:tcPr>
          <w:p>
            <w:r>
              <w:rPr>
                <w:b w:val="false"/>
                <w:bCs w:val="false"/>
              </w:rPr>
              <w:t xml:space="preserve">Average Annual Turnover</w:t>
            </w:r>
          </w:p>
        </w:tc>
        <w:tc>
          <w:tcPr>
            <w:tcW w:type="dxa" w:w="5160"/>
            <w:vAlign w:val="center"/>
          </w:tcPr>
          <w:p>
            <w:r>
              <w:rPr>
                <w:b w:val="false"/>
                <w:bCs w:val="false"/>
              </w:rPr>
              <w:t xml:space="preserve">Minimum ₹50,00,00,000 (₹50 Crore) in each of the last 3 financial years (FY 2022-23 to 2024-25), CA-certified</w:t>
            </w:r>
          </w:p>
        </w:tc>
      </w:tr>
      <w:tr>
        <w:tc>
          <w:tcPr>
            <w:tcW w:type="dxa" w:w="1000"/>
            <w:vAlign w:val="center"/>
          </w:tcPr>
          <w:p>
            <w:r>
              <w:rPr>
                <w:b w:val="false"/>
                <w:bCs w:val="false"/>
              </w:rPr>
              <w:t xml:space="preserve">EC-2</w:t>
            </w:r>
          </w:p>
        </w:tc>
        <w:tc>
          <w:tcPr>
            <w:tcW w:type="dxa" w:w="3200"/>
            <w:vAlign w:val="center"/>
          </w:tcPr>
          <w:p>
            <w:r>
              <w:rPr>
                <w:b w:val="false"/>
                <w:bCs w:val="false"/>
              </w:rPr>
              <w:t xml:space="preserve">Relevant Experience</w:t>
            </w:r>
          </w:p>
        </w:tc>
        <w:tc>
          <w:tcPr>
            <w:tcW w:type="dxa" w:w="5160"/>
            <w:vAlign w:val="center"/>
          </w:tcPr>
          <w:p>
            <w:r>
              <w:rPr>
                <w:b w:val="false"/>
                <w:bCs w:val="false"/>
              </w:rPr>
              <w:t xml:space="preserve">Successful commissioning of at least 3 substations of 132kV or above voltage class in the last 7 years, OR 1 substation of 220kV or above</w:t>
            </w:r>
          </w:p>
        </w:tc>
      </w:tr>
      <w:tr>
        <w:tc>
          <w:tcPr>
            <w:tcW w:type="dxa" w:w="1000"/>
            <w:vAlign w:val="center"/>
          </w:tcPr>
          <w:p>
            <w:r>
              <w:rPr>
                <w:b w:val="false"/>
                <w:bCs w:val="false"/>
              </w:rPr>
              <w:t xml:space="preserve">EC-3</w:t>
            </w:r>
          </w:p>
        </w:tc>
        <w:tc>
          <w:tcPr>
            <w:tcW w:type="dxa" w:w="3200"/>
            <w:vAlign w:val="center"/>
          </w:tcPr>
          <w:p>
            <w:r>
              <w:rPr>
                <w:b w:val="false"/>
                <w:bCs w:val="false"/>
              </w:rPr>
              <w:t xml:space="preserve">Net Worth</w:t>
            </w:r>
          </w:p>
        </w:tc>
        <w:tc>
          <w:tcPr>
            <w:tcW w:type="dxa" w:w="5160"/>
            <w:vAlign w:val="center"/>
          </w:tcPr>
          <w:p>
            <w:r>
              <w:rPr>
                <w:b w:val="false"/>
                <w:bCs w:val="false"/>
              </w:rPr>
              <w:t xml:space="preserve">Positive net worth as per latest audited financial statement</w:t>
            </w:r>
          </w:p>
        </w:tc>
      </w:tr>
      <w:tr>
        <w:tc>
          <w:tcPr>
            <w:tcW w:type="dxa" w:w="1000"/>
            <w:vAlign w:val="center"/>
          </w:tcPr>
          <w:p>
            <w:r>
              <w:rPr>
                <w:b w:val="false"/>
                <w:bCs w:val="false"/>
              </w:rPr>
              <w:t xml:space="preserve">EC-4</w:t>
            </w:r>
          </w:p>
        </w:tc>
        <w:tc>
          <w:tcPr>
            <w:tcW w:type="dxa" w:w="3200"/>
            <w:vAlign w:val="center"/>
          </w:tcPr>
          <w:p>
            <w:r>
              <w:rPr>
                <w:b w:val="false"/>
                <w:bCs w:val="false"/>
              </w:rPr>
              <w:t xml:space="preserve">Quality Certifications</w:t>
            </w:r>
          </w:p>
        </w:tc>
        <w:tc>
          <w:tcPr>
            <w:tcW w:type="dxa" w:w="5160"/>
            <w:vAlign w:val="center"/>
          </w:tcPr>
          <w:p>
            <w:r>
              <w:rPr>
                <w:b w:val="false"/>
                <w:bCs w:val="false"/>
              </w:rPr>
              <w:t xml:space="preserve">Valid ISO 9001:2015, ISO 14001:2015 and ISO 45001:2018 certificates</w:t>
            </w:r>
          </w:p>
        </w:tc>
      </w:tr>
      <w:tr>
        <w:tc>
          <w:tcPr>
            <w:tcW w:type="dxa" w:w="1000"/>
            <w:vAlign w:val="center"/>
          </w:tcPr>
          <w:p>
            <w:r>
              <w:rPr>
                <w:b w:val="false"/>
                <w:bCs w:val="false"/>
              </w:rPr>
              <w:t xml:space="preserve">EC-5</w:t>
            </w:r>
          </w:p>
        </w:tc>
        <w:tc>
          <w:tcPr>
            <w:tcW w:type="dxa" w:w="3200"/>
            <w:vAlign w:val="center"/>
          </w:tcPr>
          <w:p>
            <w:r>
              <w:rPr>
                <w:b w:val="false"/>
                <w:bCs w:val="false"/>
              </w:rPr>
              <w:t xml:space="preserve">Statutory Registrations</w:t>
            </w:r>
          </w:p>
        </w:tc>
        <w:tc>
          <w:tcPr>
            <w:tcW w:type="dxa" w:w="5160"/>
            <w:vAlign w:val="center"/>
          </w:tcPr>
          <w:p>
            <w:r>
              <w:rPr>
                <w:b w:val="false"/>
                <w:bCs w:val="false"/>
              </w:rPr>
              <w:t xml:space="preserve">Valid PAN, GST Registration, EPFO and Electrical Contractor License (Grade A)</w:t>
            </w:r>
          </w:p>
        </w:tc>
      </w:tr>
      <w:tr>
        <w:tc>
          <w:tcPr>
            <w:tcW w:type="dxa" w:w="1000"/>
            <w:vAlign w:val="center"/>
          </w:tcPr>
          <w:p>
            <w:r>
              <w:rPr>
                <w:b w:val="false"/>
                <w:bCs w:val="false"/>
              </w:rPr>
              <w:t xml:space="preserve">EC-6</w:t>
            </w:r>
          </w:p>
        </w:tc>
        <w:tc>
          <w:tcPr>
            <w:tcW w:type="dxa" w:w="3200"/>
            <w:vAlign w:val="center"/>
          </w:tcPr>
          <w:p>
            <w:r>
              <w:rPr>
                <w:b w:val="false"/>
                <w:bCs w:val="false"/>
              </w:rPr>
              <w:t xml:space="preserve">OEM Approval</w:t>
            </w:r>
          </w:p>
        </w:tc>
        <w:tc>
          <w:tcPr>
            <w:tcW w:type="dxa" w:w="5160"/>
            <w:vAlign w:val="center"/>
          </w:tcPr>
          <w:p>
            <w:r>
              <w:rPr>
                <w:b w:val="false"/>
                <w:bCs w:val="false"/>
              </w:rPr>
              <w:t xml:space="preserve">Power transformers and 132kV circuit breakers must be sourced from GSETCL Approved Vendor List (AVL), Rev. 14</w:t>
            </w:r>
          </w:p>
        </w:tc>
      </w:tr>
      <w:tr>
        <w:tc>
          <w:tcPr>
            <w:tcW w:type="dxa" w:w="1000"/>
            <w:vAlign w:val="center"/>
          </w:tcPr>
          <w:p>
            <w:r>
              <w:rPr>
                <w:b w:val="false"/>
                <w:bCs w:val="false"/>
              </w:rPr>
              <w:t xml:space="preserve">EC-7</w:t>
            </w:r>
          </w:p>
        </w:tc>
        <w:tc>
          <w:tcPr>
            <w:tcW w:type="dxa" w:w="3200"/>
            <w:vAlign w:val="center"/>
          </w:tcPr>
          <w:p>
            <w:r>
              <w:rPr>
                <w:b w:val="false"/>
                <w:bCs w:val="false"/>
              </w:rPr>
              <w:t xml:space="preserve">Blacklisting Declaration</w:t>
            </w:r>
          </w:p>
        </w:tc>
        <w:tc>
          <w:tcPr>
            <w:tcW w:type="dxa" w:w="5160"/>
            <w:vAlign w:val="center"/>
          </w:tcPr>
          <w:p>
            <w:r>
              <w:rPr>
                <w:b w:val="false"/>
                <w:bCs w:val="false"/>
              </w:rPr>
              <w:t xml:space="preserve">Self-certified, notarized undertaking of no blacklisting/debarment</w:t>
            </w:r>
          </w:p>
        </w:tc>
      </w:tr>
      <w:tr>
        <w:tc>
          <w:tcPr>
            <w:tcW w:type="dxa" w:w="1000"/>
            <w:vAlign w:val="center"/>
          </w:tcPr>
          <w:p>
            <w:r>
              <w:rPr>
                <w:b w:val="false"/>
                <w:bCs w:val="false"/>
              </w:rPr>
              <w:t xml:space="preserve">EC-8</w:t>
            </w:r>
          </w:p>
        </w:tc>
        <w:tc>
          <w:tcPr>
            <w:tcW w:type="dxa" w:w="3200"/>
            <w:vAlign w:val="center"/>
          </w:tcPr>
          <w:p>
            <w:r>
              <w:rPr>
                <w:b w:val="false"/>
                <w:bCs w:val="false"/>
              </w:rPr>
              <w:t xml:space="preserve">EMD Submission</w:t>
            </w:r>
          </w:p>
        </w:tc>
        <w:tc>
          <w:tcPr>
            <w:tcW w:type="dxa" w:w="5160"/>
            <w:vAlign w:val="center"/>
          </w:tcPr>
          <w:p>
            <w:r>
              <w:rPr>
                <w:b w:val="false"/>
                <w:bCs w:val="false"/>
              </w:rPr>
              <w:t xml:space="preserve">EMD of ₹1,20,00,000 as Bank Guarantee, valid 210 days</w:t>
            </w:r>
          </w:p>
        </w:tc>
      </w:tr>
    </w:tbl>
    <w:p>
      <w:pPr>
        <w:pStyle w:val="Heading1"/>
        <w:spacing w:after="150" w:before="300"/>
      </w:pPr>
      <w:r>
        <w:t xml:space="preserve">3.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shd w:fill="1F4E79" w:val="clear"/>
            <w:vAlign w:val="center"/>
          </w:tcPr>
          <w:p>
            <w:r>
              <w:rPr>
                <w:b/>
                <w:bCs/>
                <w:color w:val="FFFFFF"/>
              </w:rPr>
              <w:t xml:space="preserve">S.No.</w:t>
            </w:r>
          </w:p>
        </w:tc>
        <w:tc>
          <w:tcPr>
            <w:tcW w:type="dxa" w:w="2800"/>
            <w:shd w:fill="1F4E79" w:val="clear"/>
            <w:vAlign w:val="center"/>
          </w:tcPr>
          <w:p>
            <w:r>
              <w:rPr>
                <w:b/>
                <w:bCs/>
                <w:color w:val="FFFFFF"/>
              </w:rPr>
              <w:t xml:space="preserve">Parameter</w:t>
            </w:r>
          </w:p>
        </w:tc>
        <w:tc>
          <w:tcPr>
            <w:tcW w:type="dxa" w:w="5560"/>
            <w:shd w:fill="1F4E79" w:val="clear"/>
            <w:vAlign w:val="center"/>
          </w:tcPr>
          <w:p>
            <w:r>
              <w:rPr>
                <w:b/>
                <w:bCs/>
                <w:color w:val="FFFFFF"/>
              </w:rPr>
              <w:t xml:space="preserve">Minimum Requirement</w:t>
            </w:r>
          </w:p>
        </w:tc>
      </w:tr>
      <w:tr>
        <w:tc>
          <w:tcPr>
            <w:tcW w:type="dxa" w:w="1000"/>
            <w:vAlign w:val="center"/>
          </w:tcPr>
          <w:p>
            <w:r>
              <w:rPr>
                <w:b w:val="false"/>
                <w:bCs w:val="false"/>
              </w:rPr>
              <w:t xml:space="preserve">TR-1</w:t>
            </w:r>
          </w:p>
        </w:tc>
        <w:tc>
          <w:tcPr>
            <w:tcW w:type="dxa" w:w="2800"/>
            <w:vAlign w:val="center"/>
          </w:tcPr>
          <w:p>
            <w:r>
              <w:rPr>
                <w:b w:val="false"/>
                <w:bCs w:val="false"/>
              </w:rPr>
              <w:t xml:space="preserve">Power Transformer Rating</w:t>
            </w:r>
          </w:p>
        </w:tc>
        <w:tc>
          <w:tcPr>
            <w:tcW w:type="dxa" w:w="5560"/>
            <w:vAlign w:val="center"/>
          </w:tcPr>
          <w:p>
            <w:r>
              <w:rPr>
                <w:b w:val="false"/>
                <w:bCs w:val="false"/>
              </w:rPr>
              <w:t xml:space="preserve">2 x 40 MVA, 132/33kV, ONAN/ONAF, Delta-Star, with OLTC ±10x1.5%</w:t>
            </w:r>
          </w:p>
        </w:tc>
      </w:tr>
      <w:tr>
        <w:tc>
          <w:tcPr>
            <w:tcW w:type="dxa" w:w="1000"/>
            <w:vAlign w:val="center"/>
          </w:tcPr>
          <w:p>
            <w:r>
              <w:rPr>
                <w:b w:val="false"/>
                <w:bCs w:val="false"/>
              </w:rPr>
              <w:t xml:space="preserve">TR-2</w:t>
            </w:r>
          </w:p>
        </w:tc>
        <w:tc>
          <w:tcPr>
            <w:tcW w:type="dxa" w:w="2800"/>
            <w:vAlign w:val="center"/>
          </w:tcPr>
          <w:p>
            <w:r>
              <w:rPr>
                <w:b w:val="false"/>
                <w:bCs w:val="false"/>
              </w:rPr>
              <w:t xml:space="preserve">Transformer Temperature Rise</w:t>
            </w:r>
          </w:p>
        </w:tc>
        <w:tc>
          <w:tcPr>
            <w:tcW w:type="dxa" w:w="5560"/>
            <w:vAlign w:val="center"/>
          </w:tcPr>
          <w:p>
            <w:r>
              <w:rPr>
                <w:b w:val="false"/>
                <w:bCs w:val="false"/>
              </w:rPr>
              <w:t xml:space="preserve">Top oil ≤ 45°C, winding ≤ 50°C over ambient, per IS 2026</w:t>
            </w:r>
          </w:p>
        </w:tc>
      </w:tr>
      <w:tr>
        <w:tc>
          <w:tcPr>
            <w:tcW w:type="dxa" w:w="1000"/>
            <w:vAlign w:val="center"/>
          </w:tcPr>
          <w:p>
            <w:r>
              <w:rPr>
                <w:b w:val="false"/>
                <w:bCs w:val="false"/>
              </w:rPr>
              <w:t xml:space="preserve">TR-3</w:t>
            </w:r>
          </w:p>
        </w:tc>
        <w:tc>
          <w:tcPr>
            <w:tcW w:type="dxa" w:w="2800"/>
            <w:vAlign w:val="center"/>
          </w:tcPr>
          <w:p>
            <w:r>
              <w:rPr>
                <w:b w:val="false"/>
                <w:bCs w:val="false"/>
              </w:rPr>
              <w:t xml:space="preserve">132kV Circuit Breaker</w:t>
            </w:r>
          </w:p>
        </w:tc>
        <w:tc>
          <w:tcPr>
            <w:tcW w:type="dxa" w:w="5560"/>
            <w:vAlign w:val="center"/>
          </w:tcPr>
          <w:p>
            <w:r>
              <w:rPr>
                <w:b w:val="false"/>
                <w:bCs w:val="false"/>
              </w:rPr>
              <w:t xml:space="preserve">SF6, 3-pole, rated 2000A, 40kA for 3 sec, BIL 650kV</w:t>
            </w:r>
          </w:p>
        </w:tc>
      </w:tr>
      <w:tr>
        <w:tc>
          <w:tcPr>
            <w:tcW w:type="dxa" w:w="1000"/>
            <w:vAlign w:val="center"/>
          </w:tcPr>
          <w:p>
            <w:r>
              <w:rPr>
                <w:b w:val="false"/>
                <w:bCs w:val="false"/>
              </w:rPr>
              <w:t xml:space="preserve">TR-4</w:t>
            </w:r>
          </w:p>
        </w:tc>
        <w:tc>
          <w:tcPr>
            <w:tcW w:type="dxa" w:w="2800"/>
            <w:vAlign w:val="center"/>
          </w:tcPr>
          <w:p>
            <w:r>
              <w:rPr>
                <w:b w:val="false"/>
                <w:bCs w:val="false"/>
              </w:rPr>
              <w:t xml:space="preserve">132kV CT/PT</w:t>
            </w:r>
          </w:p>
        </w:tc>
        <w:tc>
          <w:tcPr>
            <w:tcW w:type="dxa" w:w="5560"/>
            <w:vAlign w:val="center"/>
          </w:tcPr>
          <w:p>
            <w:r>
              <w:rPr>
                <w:b w:val="false"/>
                <w:bCs w:val="false"/>
              </w:rPr>
              <w:t xml:space="preserve">Class 0.2S metering, Class 5P20 protection, per IS 2705/3156</w:t>
            </w:r>
          </w:p>
        </w:tc>
      </w:tr>
      <w:tr>
        <w:tc>
          <w:tcPr>
            <w:tcW w:type="dxa" w:w="1000"/>
            <w:vAlign w:val="center"/>
          </w:tcPr>
          <w:p>
            <w:r>
              <w:rPr>
                <w:b w:val="false"/>
                <w:bCs w:val="false"/>
              </w:rPr>
              <w:t xml:space="preserve">TR-5</w:t>
            </w:r>
          </w:p>
        </w:tc>
        <w:tc>
          <w:tcPr>
            <w:tcW w:type="dxa" w:w="2800"/>
            <w:vAlign w:val="center"/>
          </w:tcPr>
          <w:p>
            <w:r>
              <w:rPr>
                <w:b w:val="false"/>
                <w:bCs w:val="false"/>
              </w:rPr>
              <w:t xml:space="preserve">33kV Switchgear</w:t>
            </w:r>
          </w:p>
        </w:tc>
        <w:tc>
          <w:tcPr>
            <w:tcW w:type="dxa" w:w="5560"/>
            <w:vAlign w:val="center"/>
          </w:tcPr>
          <w:p>
            <w:r>
              <w:rPr>
                <w:b w:val="false"/>
                <w:bCs w:val="false"/>
              </w:rPr>
              <w:t xml:space="preserve">Indoor VCB, metal-clad, rated 1250A, 25kA for 3 sec</w:t>
            </w:r>
          </w:p>
        </w:tc>
      </w:tr>
      <w:tr>
        <w:tc>
          <w:tcPr>
            <w:tcW w:type="dxa" w:w="1000"/>
            <w:vAlign w:val="center"/>
          </w:tcPr>
          <w:p>
            <w:r>
              <w:rPr>
                <w:b w:val="false"/>
                <w:bCs w:val="false"/>
              </w:rPr>
              <w:t xml:space="preserve">TR-6</w:t>
            </w:r>
          </w:p>
        </w:tc>
        <w:tc>
          <w:tcPr>
            <w:tcW w:type="dxa" w:w="2800"/>
            <w:vAlign w:val="center"/>
          </w:tcPr>
          <w:p>
            <w:r>
              <w:rPr>
                <w:b w:val="false"/>
                <w:bCs w:val="false"/>
              </w:rPr>
              <w:t xml:space="preserve">Protection System</w:t>
            </w:r>
          </w:p>
        </w:tc>
        <w:tc>
          <w:tcPr>
            <w:tcW w:type="dxa" w:w="5560"/>
            <w:vAlign w:val="center"/>
          </w:tcPr>
          <w:p>
            <w:r>
              <w:rPr>
                <w:b w:val="false"/>
                <w:bCs w:val="false"/>
              </w:rPr>
              <w:t xml:space="preserve">Numerical relays (IEC 61850 compliant) for differential, distance, O/C, E/F protection</w:t>
            </w:r>
          </w:p>
        </w:tc>
      </w:tr>
      <w:tr>
        <w:tc>
          <w:tcPr>
            <w:tcW w:type="dxa" w:w="1000"/>
            <w:vAlign w:val="center"/>
          </w:tcPr>
          <w:p>
            <w:r>
              <w:rPr>
                <w:b w:val="false"/>
                <w:bCs w:val="false"/>
              </w:rPr>
              <w:t xml:space="preserve">TR-7</w:t>
            </w:r>
          </w:p>
        </w:tc>
        <w:tc>
          <w:tcPr>
            <w:tcW w:type="dxa" w:w="2800"/>
            <w:vAlign w:val="center"/>
          </w:tcPr>
          <w:p>
            <w:r>
              <w:rPr>
                <w:b w:val="false"/>
                <w:bCs w:val="false"/>
              </w:rPr>
              <w:t xml:space="preserve">SCADA/RTU</w:t>
            </w:r>
          </w:p>
        </w:tc>
        <w:tc>
          <w:tcPr>
            <w:tcW w:type="dxa" w:w="5560"/>
            <w:vAlign w:val="center"/>
          </w:tcPr>
          <w:p>
            <w:r>
              <w:rPr>
                <w:b w:val="false"/>
                <w:bCs w:val="false"/>
              </w:rPr>
              <w:t xml:space="preserve">IEC 60870-5-104 protocol, integration with SLDC within 30 days of commissioning</w:t>
            </w:r>
          </w:p>
        </w:tc>
      </w:tr>
      <w:tr>
        <w:tc>
          <w:tcPr>
            <w:tcW w:type="dxa" w:w="1000"/>
            <w:vAlign w:val="center"/>
          </w:tcPr>
          <w:p>
            <w:r>
              <w:rPr>
                <w:b w:val="false"/>
                <w:bCs w:val="false"/>
              </w:rPr>
              <w:t xml:space="preserve">TR-8</w:t>
            </w:r>
          </w:p>
        </w:tc>
        <w:tc>
          <w:tcPr>
            <w:tcW w:type="dxa" w:w="2800"/>
            <w:vAlign w:val="center"/>
          </w:tcPr>
          <w:p>
            <w:r>
              <w:rPr>
                <w:b w:val="false"/>
                <w:bCs w:val="false"/>
              </w:rPr>
              <w:t xml:space="preserve">Earthing System</w:t>
            </w:r>
          </w:p>
        </w:tc>
        <w:tc>
          <w:tcPr>
            <w:tcW w:type="dxa" w:w="5560"/>
            <w:vAlign w:val="center"/>
          </w:tcPr>
          <w:p>
            <w:r>
              <w:rPr>
                <w:b w:val="false"/>
                <w:bCs w:val="false"/>
              </w:rPr>
              <w:t xml:space="preserve">Grid resistance ≤ 1 ohm, as per IS 3043</w:t>
            </w:r>
          </w:p>
        </w:tc>
      </w:tr>
      <w:tr>
        <w:tc>
          <w:tcPr>
            <w:tcW w:type="dxa" w:w="1000"/>
            <w:vAlign w:val="center"/>
          </w:tcPr>
          <w:p>
            <w:r>
              <w:rPr>
                <w:b w:val="false"/>
                <w:bCs w:val="false"/>
              </w:rPr>
              <w:t xml:space="preserve">TR-9</w:t>
            </w:r>
          </w:p>
        </w:tc>
        <w:tc>
          <w:tcPr>
            <w:tcW w:type="dxa" w:w="2800"/>
            <w:vAlign w:val="center"/>
          </w:tcPr>
          <w:p>
            <w:r>
              <w:rPr>
                <w:b w:val="false"/>
                <w:bCs w:val="false"/>
              </w:rPr>
              <w:t xml:space="preserve">Battery System</w:t>
            </w:r>
          </w:p>
        </w:tc>
        <w:tc>
          <w:tcPr>
            <w:tcW w:type="dxa" w:w="5560"/>
            <w:vAlign w:val="center"/>
          </w:tcPr>
          <w:p>
            <w:r>
              <w:rPr>
                <w:b w:val="false"/>
                <w:bCs w:val="false"/>
              </w:rPr>
              <w:t xml:space="preserve">220V DC, 300 AH VRLA, with dual battery chargers</w:t>
            </w:r>
          </w:p>
        </w:tc>
      </w:tr>
      <w:tr>
        <w:tc>
          <w:tcPr>
            <w:tcW w:type="dxa" w:w="1000"/>
            <w:vAlign w:val="center"/>
          </w:tcPr>
          <w:p>
            <w:r>
              <w:rPr>
                <w:b w:val="false"/>
                <w:bCs w:val="false"/>
              </w:rPr>
              <w:t xml:space="preserve">TR-10</w:t>
            </w:r>
          </w:p>
        </w:tc>
        <w:tc>
          <w:tcPr>
            <w:tcW w:type="dxa" w:w="2800"/>
            <w:vAlign w:val="center"/>
          </w:tcPr>
          <w:p>
            <w:r>
              <w:rPr>
                <w:b w:val="false"/>
                <w:bCs w:val="false"/>
              </w:rPr>
              <w:t xml:space="preserve">Defect Liability Period</w:t>
            </w:r>
          </w:p>
        </w:tc>
        <w:tc>
          <w:tcPr>
            <w:tcW w:type="dxa" w:w="5560"/>
            <w:vAlign w:val="center"/>
          </w:tcPr>
          <w:p>
            <w:r>
              <w:rPr>
                <w:b w:val="false"/>
                <w:bCs w:val="false"/>
              </w:rPr>
              <w:t xml:space="preserve">24 months from date of commissioning</w:t>
            </w:r>
          </w:p>
        </w:tc>
      </w:tr>
    </w:tbl>
    <w:p>
      <w:pPr>
        <w:pStyle w:val="Heading1"/>
        <w:spacing w:after="150" w:before="300"/>
      </w:pPr>
      <w:r>
        <w:t xml:space="preserve">4. Commercial Requirements</w:t>
      </w:r>
    </w:p>
    <w:p>
      <w:pPr>
        <w:pStyle w:val="ListParagraph"/>
        <w:numPr>
          <w:ilvl w:val="0"/>
          <w:numId w:val="2"/>
        </w:numPr>
        <w:spacing w:after="60"/>
      </w:pPr>
      <w:r>
        <w:t xml:space="preserve">Prices on firm, fixed-price, turnkey basis (FOR Site) inclusive of all duties except GST, shown separately.</w:t>
      </w:r>
    </w:p>
    <w:p>
      <w:pPr>
        <w:pStyle w:val="ListParagraph"/>
        <w:numPr>
          <w:ilvl w:val="0"/>
          <w:numId w:val="2"/>
        </w:numPr>
        <w:spacing w:after="60"/>
      </w:pPr>
      <w:r>
        <w:t xml:space="preserve">Performance Bank Guarantee (PBG) of 5% of Contract Value within 15 days of LOA, valid till expiry of DLP.</w:t>
      </w:r>
    </w:p>
    <w:p>
      <w:pPr>
        <w:pStyle w:val="ListParagraph"/>
        <w:numPr>
          <w:ilvl w:val="0"/>
          <w:numId w:val="2"/>
        </w:numPr>
        <w:spacing w:after="60"/>
      </w:pPr>
      <w:r>
        <w:t xml:space="preserve">Payment strictly per Milestone Payment Schedule; no mobilization advance beyond 10% against Bank Guarantee.</w:t>
      </w:r>
    </w:p>
    <w:p>
      <w:pPr>
        <w:pStyle w:val="ListParagraph"/>
        <w:numPr>
          <w:ilvl w:val="0"/>
          <w:numId w:val="2"/>
        </w:numPr>
        <w:spacing w:after="60"/>
      </w:pPr>
      <w:r>
        <w:t xml:space="preserve">Prices firm throughout contract period except statutory tax variation.</w:t>
      </w:r>
    </w:p>
    <w:p>
      <w:pPr>
        <w:pStyle w:val="Heading1"/>
        <w:spacing w:after="150" w:before="300"/>
      </w:pPr>
      <w:r>
        <w:t xml:space="preserve">5. Evaluation Criteria</w:t>
      </w:r>
    </w:p>
    <w:p>
      <w:pPr>
        <w:spacing w:after="120"/>
      </w:pPr>
      <w:r>
        <w:t xml:space="preserve">Evaluation shall proceed in three sequential stages: (1) Eligibility Screening (Compliant/Non-Compliant), (2) Technical Evaluation out of 100 marks with a qualifying minimum of 60, and (3) Price Evaluation of technically qualified bidders only, with L1 determined on the Total Evaluated Price after accounting for any normalization for deviations.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4E79" w:val="clear"/>
            <w:vAlign w:val="center"/>
          </w:tcPr>
          <w:p>
            <w:r>
              <w:rPr>
                <w:b/>
                <w:bCs/>
                <w:color w:val="FFFFFF"/>
              </w:rPr>
              <w:t xml:space="preserve">Criteria</w:t>
            </w:r>
          </w:p>
        </w:tc>
        <w:tc>
          <w:tcPr>
            <w:tcW w:type="dxa" w:w="2360"/>
            <w:shd w:fill="1F4E79" w:val="clear"/>
            <w:vAlign w:val="center"/>
          </w:tcPr>
          <w:p>
            <w:r>
              <w:rPr>
                <w:b/>
                <w:bCs/>
                <w:color w:val="FFFFFF"/>
              </w:rPr>
              <w:t xml:space="preserve">Max Marks</w:t>
            </w:r>
          </w:p>
        </w:tc>
      </w:tr>
      <w:tr>
        <w:tc>
          <w:tcPr>
            <w:tcW w:type="dxa" w:w="7000"/>
            <w:vAlign w:val="center"/>
          </w:tcPr>
          <w:p>
            <w:r>
              <w:rPr>
                <w:b w:val="false"/>
                <w:bCs w:val="false"/>
              </w:rPr>
              <w:t xml:space="preserve">Relevant Project Experience (132kV+ substations)</w:t>
            </w:r>
          </w:p>
        </w:tc>
        <w:tc>
          <w:tcPr>
            <w:tcW w:type="dxa" w:w="2360"/>
            <w:vAlign w:val="center"/>
          </w:tcPr>
          <w:p>
            <w:r>
              <w:rPr>
                <w:b w:val="false"/>
                <w:bCs w:val="false"/>
              </w:rPr>
              <w:t xml:space="preserve">25</w:t>
            </w:r>
          </w:p>
        </w:tc>
      </w:tr>
      <w:tr>
        <w:tc>
          <w:tcPr>
            <w:tcW w:type="dxa" w:w="7000"/>
            <w:vAlign w:val="center"/>
          </w:tcPr>
          <w:p>
            <w:r>
              <w:rPr>
                <w:b w:val="false"/>
                <w:bCs w:val="false"/>
              </w:rPr>
              <w:t xml:space="preserve">Technical Design &amp; Equipment Compliance (Section 3)</w:t>
            </w:r>
          </w:p>
        </w:tc>
        <w:tc>
          <w:tcPr>
            <w:tcW w:type="dxa" w:w="2360"/>
            <w:vAlign w:val="center"/>
          </w:tcPr>
          <w:p>
            <w:r>
              <w:rPr>
                <w:b w:val="false"/>
                <w:bCs w:val="false"/>
              </w:rPr>
              <w:t xml:space="preserve">25</w:t>
            </w:r>
          </w:p>
        </w:tc>
      </w:tr>
      <w:tr>
        <w:tc>
          <w:tcPr>
            <w:tcW w:type="dxa" w:w="7000"/>
            <w:vAlign w:val="center"/>
          </w:tcPr>
          <w:p>
            <w:r>
              <w:rPr>
                <w:b w:val="false"/>
                <w:bCs w:val="false"/>
              </w:rPr>
              <w:t xml:space="preserve">OEM Credentials &amp; Approved Vendor List Compliance</w:t>
            </w:r>
          </w:p>
        </w:tc>
        <w:tc>
          <w:tcPr>
            <w:tcW w:type="dxa" w:w="2360"/>
            <w:vAlign w:val="center"/>
          </w:tcPr>
          <w:p>
            <w:r>
              <w:rPr>
                <w:b w:val="false"/>
                <w:bCs w:val="false"/>
              </w:rPr>
              <w:t xml:space="preserve">15</w:t>
            </w:r>
          </w:p>
        </w:tc>
      </w:tr>
      <w:tr>
        <w:tc>
          <w:tcPr>
            <w:tcW w:type="dxa" w:w="7000"/>
            <w:vAlign w:val="center"/>
          </w:tcPr>
          <w:p>
            <w:r>
              <w:rPr>
                <w:b w:val="false"/>
                <w:bCs w:val="false"/>
              </w:rPr>
              <w:t xml:space="preserve">Execution Methodology, Schedule &amp; QA/QC Plan</w:t>
            </w:r>
          </w:p>
        </w:tc>
        <w:tc>
          <w:tcPr>
            <w:tcW w:type="dxa" w:w="2360"/>
            <w:vAlign w:val="center"/>
          </w:tcPr>
          <w:p>
            <w:r>
              <w:rPr>
                <w:b w:val="false"/>
                <w:bCs w:val="false"/>
              </w:rPr>
              <w:t xml:space="preserve">20</w:t>
            </w:r>
          </w:p>
        </w:tc>
      </w:tr>
      <w:tr>
        <w:tc>
          <w:tcPr>
            <w:tcW w:type="dxa" w:w="7000"/>
            <w:vAlign w:val="center"/>
          </w:tcPr>
          <w:p>
            <w:r>
              <w:rPr>
                <w:b w:val="false"/>
                <w:bCs w:val="false"/>
              </w:rPr>
              <w:t xml:space="preserve">Manpower, Plant &amp; Machinery Deployment</w:t>
            </w:r>
          </w:p>
        </w:tc>
        <w:tc>
          <w:tcPr>
            <w:tcW w:type="dxa" w:w="2360"/>
            <w:vAlign w:val="center"/>
          </w:tcPr>
          <w:p>
            <w:r>
              <w:rPr>
                <w:b w:val="false"/>
                <w:bCs w:val="false"/>
              </w:rPr>
              <w:t xml:space="preserve">10</w:t>
            </w:r>
          </w:p>
        </w:tc>
      </w:tr>
      <w:tr>
        <w:tc>
          <w:tcPr>
            <w:tcW w:type="dxa" w:w="7000"/>
            <w:vAlign w:val="center"/>
          </w:tcPr>
          <w:p>
            <w:r>
              <w:rPr>
                <w:b w:val="false"/>
                <w:bCs w:val="false"/>
              </w:rPr>
              <w:t xml:space="preserve">HSE Plan &amp; Past Safety Record</w:t>
            </w:r>
          </w:p>
        </w:tc>
        <w:tc>
          <w:tcPr>
            <w:tcW w:type="dxa" w:w="2360"/>
            <w:vAlign w:val="center"/>
          </w:tcPr>
          <w:p>
            <w:r>
              <w:rPr>
                <w:b w:val="false"/>
                <w:bCs w:val="false"/>
              </w:rPr>
              <w:t xml:space="preserve">5</w:t>
            </w:r>
          </w:p>
        </w:tc>
      </w:tr>
    </w:tbl>
    <w:p>
      <w:pPr>
        <w:pStyle w:val="Heading1"/>
        <w:spacing w:after="150" w:before="300"/>
      </w:pPr>
      <w:r>
        <w:t xml:space="preserve">6. Milestones &amp; 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shd w:fill="1F4E79" w:val="clear"/>
            <w:vAlign w:val="center"/>
          </w:tcPr>
          <w:p>
            <w:r>
              <w:rPr>
                <w:b/>
                <w:bCs/>
                <w:color w:val="FFFFFF"/>
              </w:rPr>
              <w:t xml:space="preserve">Milestone</w:t>
            </w:r>
          </w:p>
        </w:tc>
        <w:tc>
          <w:tcPr>
            <w:tcW w:type="dxa" w:w="4400"/>
            <w:shd w:fill="1F4E79" w:val="clear"/>
            <w:vAlign w:val="center"/>
          </w:tcPr>
          <w:p>
            <w:r>
              <w:rPr>
                <w:b/>
                <w:bCs/>
                <w:color w:val="FFFFFF"/>
              </w:rPr>
              <w:t xml:space="preserve">Deliverable</w:t>
            </w:r>
          </w:p>
        </w:tc>
        <w:tc>
          <w:tcPr>
            <w:tcW w:type="dxa" w:w="2560"/>
            <w:shd w:fill="1F4E79" w:val="clear"/>
            <w:vAlign w:val="center"/>
          </w:tcPr>
          <w:p>
            <w:r>
              <w:rPr>
                <w:b/>
                <w:bCs/>
                <w:color w:val="FFFFFF"/>
              </w:rPr>
              <w:t xml:space="preserve">Timeline (from LOA)</w:t>
            </w:r>
          </w:p>
        </w:tc>
      </w:tr>
      <w:tr>
        <w:tc>
          <w:tcPr>
            <w:tcW w:type="dxa" w:w="2400"/>
            <w:vAlign w:val="center"/>
          </w:tcPr>
          <w:p>
            <w:r>
              <w:rPr>
                <w:b w:val="false"/>
                <w:bCs w:val="false"/>
              </w:rPr>
              <w:t xml:space="preserve">M1</w:t>
            </w:r>
          </w:p>
        </w:tc>
        <w:tc>
          <w:tcPr>
            <w:tcW w:type="dxa" w:w="4400"/>
            <w:vAlign w:val="center"/>
          </w:tcPr>
          <w:p>
            <w:r>
              <w:rPr>
                <w:b w:val="false"/>
                <w:bCs w:val="false"/>
              </w:rPr>
              <w:t xml:space="preserve">Mobilization, PBG submission, Insurance</w:t>
            </w:r>
          </w:p>
        </w:tc>
        <w:tc>
          <w:tcPr>
            <w:tcW w:type="dxa" w:w="2560"/>
            <w:vAlign w:val="center"/>
          </w:tcPr>
          <w:p>
            <w:r>
              <w:rPr>
                <w:b w:val="false"/>
                <w:bCs w:val="false"/>
              </w:rPr>
              <w:t xml:space="preserve">T + 15 days</w:t>
            </w:r>
          </w:p>
        </w:tc>
      </w:tr>
      <w:tr>
        <w:tc>
          <w:tcPr>
            <w:tcW w:type="dxa" w:w="2400"/>
            <w:vAlign w:val="center"/>
          </w:tcPr>
          <w:p>
            <w:r>
              <w:rPr>
                <w:b w:val="false"/>
                <w:bCs w:val="false"/>
              </w:rPr>
              <w:t xml:space="preserve">M2</w:t>
            </w:r>
          </w:p>
        </w:tc>
        <w:tc>
          <w:tcPr>
            <w:tcW w:type="dxa" w:w="4400"/>
            <w:vAlign w:val="center"/>
          </w:tcPr>
          <w:p>
            <w:r>
              <w:rPr>
                <w:b w:val="false"/>
                <w:bCs w:val="false"/>
              </w:rPr>
              <w:t xml:space="preserve">Design/drawing approval by GSETCL</w:t>
            </w:r>
          </w:p>
        </w:tc>
        <w:tc>
          <w:tcPr>
            <w:tcW w:type="dxa" w:w="2560"/>
            <w:vAlign w:val="center"/>
          </w:tcPr>
          <w:p>
            <w:r>
              <w:rPr>
                <w:b w:val="false"/>
                <w:bCs w:val="false"/>
              </w:rPr>
              <w:t xml:space="preserve">T + 45 days</w:t>
            </w:r>
          </w:p>
        </w:tc>
      </w:tr>
      <w:tr>
        <w:tc>
          <w:tcPr>
            <w:tcW w:type="dxa" w:w="2400"/>
            <w:vAlign w:val="center"/>
          </w:tcPr>
          <w:p>
            <w:r>
              <w:rPr>
                <w:b w:val="false"/>
                <w:bCs w:val="false"/>
              </w:rPr>
              <w:t xml:space="preserve">M3</w:t>
            </w:r>
          </w:p>
        </w:tc>
        <w:tc>
          <w:tcPr>
            <w:tcW w:type="dxa" w:w="4400"/>
            <w:vAlign w:val="center"/>
          </w:tcPr>
          <w:p>
            <w:r>
              <w:rPr>
                <w:b w:val="false"/>
                <w:bCs w:val="false"/>
              </w:rPr>
              <w:t xml:space="preserve">Transformer &amp; 132kV equipment delivery to site</w:t>
            </w:r>
          </w:p>
        </w:tc>
        <w:tc>
          <w:tcPr>
            <w:tcW w:type="dxa" w:w="2560"/>
            <w:vAlign w:val="center"/>
          </w:tcPr>
          <w:p>
            <w:r>
              <w:rPr>
                <w:b w:val="false"/>
                <w:bCs w:val="false"/>
              </w:rPr>
              <w:t xml:space="preserve">T + 180 days</w:t>
            </w:r>
          </w:p>
        </w:tc>
      </w:tr>
      <w:tr>
        <w:tc>
          <w:tcPr>
            <w:tcW w:type="dxa" w:w="2400"/>
            <w:vAlign w:val="center"/>
          </w:tcPr>
          <w:p>
            <w:r>
              <w:rPr>
                <w:b w:val="false"/>
                <w:bCs w:val="false"/>
              </w:rPr>
              <w:t xml:space="preserve">M4</w:t>
            </w:r>
          </w:p>
        </w:tc>
        <w:tc>
          <w:tcPr>
            <w:tcW w:type="dxa" w:w="4400"/>
            <w:vAlign w:val="center"/>
          </w:tcPr>
          <w:p>
            <w:r>
              <w:rPr>
                <w:b w:val="false"/>
                <w:bCs w:val="false"/>
              </w:rPr>
              <w:t xml:space="preserve">Civil works completion (control room, foundations)</w:t>
            </w:r>
          </w:p>
        </w:tc>
        <w:tc>
          <w:tcPr>
            <w:tcW w:type="dxa" w:w="2560"/>
            <w:vAlign w:val="center"/>
          </w:tcPr>
          <w:p>
            <w:r>
              <w:rPr>
                <w:b w:val="false"/>
                <w:bCs w:val="false"/>
              </w:rPr>
              <w:t xml:space="preserve">T + 150 days</w:t>
            </w:r>
          </w:p>
        </w:tc>
      </w:tr>
      <w:tr>
        <w:tc>
          <w:tcPr>
            <w:tcW w:type="dxa" w:w="2400"/>
            <w:vAlign w:val="center"/>
          </w:tcPr>
          <w:p>
            <w:r>
              <w:rPr>
                <w:b w:val="false"/>
                <w:bCs w:val="false"/>
              </w:rPr>
              <w:t xml:space="preserve">M5</w:t>
            </w:r>
          </w:p>
        </w:tc>
        <w:tc>
          <w:tcPr>
            <w:tcW w:type="dxa" w:w="4400"/>
            <w:vAlign w:val="center"/>
          </w:tcPr>
          <w:p>
            <w:r>
              <w:rPr>
                <w:b w:val="false"/>
                <w:bCs w:val="false"/>
              </w:rPr>
              <w:t xml:space="preserve">Switchyard erection complete</w:t>
            </w:r>
          </w:p>
        </w:tc>
        <w:tc>
          <w:tcPr>
            <w:tcW w:type="dxa" w:w="2560"/>
            <w:vAlign w:val="center"/>
          </w:tcPr>
          <w:p>
            <w:r>
              <w:rPr>
                <w:b w:val="false"/>
                <w:bCs w:val="false"/>
              </w:rPr>
              <w:t xml:space="preserve">T + 240 days</w:t>
            </w:r>
          </w:p>
        </w:tc>
      </w:tr>
      <w:tr>
        <w:tc>
          <w:tcPr>
            <w:tcW w:type="dxa" w:w="2400"/>
            <w:vAlign w:val="center"/>
          </w:tcPr>
          <w:p>
            <w:r>
              <w:rPr>
                <w:b w:val="false"/>
                <w:bCs w:val="false"/>
              </w:rPr>
              <w:t xml:space="preserve">M6</w:t>
            </w:r>
          </w:p>
        </w:tc>
        <w:tc>
          <w:tcPr>
            <w:tcW w:type="dxa" w:w="4400"/>
            <w:vAlign w:val="center"/>
          </w:tcPr>
          <w:p>
            <w:r>
              <w:rPr>
                <w:b w:val="false"/>
                <w:bCs w:val="false"/>
              </w:rPr>
              <w:t xml:space="preserve">33kV switchgear, CRP, SCADA installation</w:t>
            </w:r>
          </w:p>
        </w:tc>
        <w:tc>
          <w:tcPr>
            <w:tcW w:type="dxa" w:w="2560"/>
            <w:vAlign w:val="center"/>
          </w:tcPr>
          <w:p>
            <w:r>
              <w:rPr>
                <w:b w:val="false"/>
                <w:bCs w:val="false"/>
              </w:rPr>
              <w:t xml:space="preserve">T + 260 days</w:t>
            </w:r>
          </w:p>
        </w:tc>
      </w:tr>
      <w:tr>
        <w:tc>
          <w:tcPr>
            <w:tcW w:type="dxa" w:w="2400"/>
            <w:vAlign w:val="center"/>
          </w:tcPr>
          <w:p>
            <w:r>
              <w:rPr>
                <w:b w:val="false"/>
                <w:bCs w:val="false"/>
              </w:rPr>
              <w:t xml:space="preserve">M7</w:t>
            </w:r>
          </w:p>
        </w:tc>
        <w:tc>
          <w:tcPr>
            <w:tcW w:type="dxa" w:w="4400"/>
            <w:vAlign w:val="center"/>
          </w:tcPr>
          <w:p>
            <w:r>
              <w:rPr>
                <w:b w:val="false"/>
                <w:bCs w:val="false"/>
              </w:rPr>
              <w:t xml:space="preserve">Testing &amp; pre-commissioning checks</w:t>
            </w:r>
          </w:p>
        </w:tc>
        <w:tc>
          <w:tcPr>
            <w:tcW w:type="dxa" w:w="2560"/>
            <w:vAlign w:val="center"/>
          </w:tcPr>
          <w:p>
            <w:r>
              <w:rPr>
                <w:b w:val="false"/>
                <w:bCs w:val="false"/>
              </w:rPr>
              <w:t xml:space="preserve">T + 280 days</w:t>
            </w:r>
          </w:p>
        </w:tc>
      </w:tr>
      <w:tr>
        <w:tc>
          <w:tcPr>
            <w:tcW w:type="dxa" w:w="2400"/>
            <w:vAlign w:val="center"/>
          </w:tcPr>
          <w:p>
            <w:r>
              <w:rPr>
                <w:b w:val="false"/>
                <w:bCs w:val="false"/>
              </w:rPr>
              <w:t xml:space="preserve">M8</w:t>
            </w:r>
          </w:p>
        </w:tc>
        <w:tc>
          <w:tcPr>
            <w:tcW w:type="dxa" w:w="4400"/>
            <w:vAlign w:val="center"/>
          </w:tcPr>
          <w:p>
            <w:r>
              <w:rPr>
                <w:b w:val="false"/>
                <w:bCs w:val="false"/>
              </w:rPr>
              <w:t xml:space="preserve">Commissioning with State grid</w:t>
            </w:r>
          </w:p>
        </w:tc>
        <w:tc>
          <w:tcPr>
            <w:tcW w:type="dxa" w:w="2560"/>
            <w:vAlign w:val="center"/>
          </w:tcPr>
          <w:p>
            <w:r>
              <w:rPr>
                <w:b w:val="false"/>
                <w:bCs w:val="false"/>
              </w:rPr>
              <w:t xml:space="preserve">T + 300 days (10 months)</w:t>
            </w:r>
          </w:p>
        </w:tc>
      </w:tr>
      <w:tr>
        <w:tc>
          <w:tcPr>
            <w:tcW w:type="dxa" w:w="2400"/>
            <w:vAlign w:val="center"/>
          </w:tcPr>
          <w:p>
            <w:r>
              <w:rPr>
                <w:b w:val="false"/>
                <w:bCs w:val="false"/>
              </w:rPr>
              <w:t xml:space="preserve">M9</w:t>
            </w:r>
          </w:p>
        </w:tc>
        <w:tc>
          <w:tcPr>
            <w:tcW w:type="dxa" w:w="4400"/>
            <w:vAlign w:val="center"/>
          </w:tcPr>
          <w:p>
            <w:r>
              <w:rPr>
                <w:b w:val="false"/>
                <w:bCs w:val="false"/>
              </w:rPr>
              <w:t xml:space="preserve">Defect Liability Period</w:t>
            </w:r>
          </w:p>
        </w:tc>
        <w:tc>
          <w:tcPr>
            <w:tcW w:type="dxa" w:w="2560"/>
            <w:vAlign w:val="center"/>
          </w:tcPr>
          <w:p>
            <w:r>
              <w:rPr>
                <w:b w:val="false"/>
                <w:bCs w:val="false"/>
              </w:rPr>
              <w:t xml:space="preserve">T + 300 to T + 1020 days</w:t>
            </w:r>
          </w:p>
        </w:tc>
      </w:tr>
    </w:tbl>
    <w:p>
      <w:pPr>
        <w:pStyle w:val="Heading1"/>
        <w:spacing w:after="150" w:before="300"/>
      </w:pPr>
      <w:r>
        <w:t xml:space="preserve">7. General Terms &amp; Conditions</w:t>
      </w:r>
    </w:p>
    <w:p>
      <w:pPr>
        <w:pStyle w:val="ListParagraph"/>
        <w:numPr>
          <w:ilvl w:val="0"/>
          <w:numId w:val="2"/>
        </w:numPr>
        <w:spacing w:after="60"/>
      </w:pPr>
      <w:r>
        <w:t xml:space="preserve">Bid Validity: 150 days from Price Bid opening.</w:t>
      </w:r>
    </w:p>
    <w:p>
      <w:pPr>
        <w:pStyle w:val="ListParagraph"/>
        <w:numPr>
          <w:ilvl w:val="0"/>
          <w:numId w:val="2"/>
        </w:numPr>
        <w:spacing w:after="60"/>
      </w:pPr>
      <w:r>
        <w:t xml:space="preserve">Completion Period: 10 months (300 days) from LOA date, achieving commissioning with State grid.</w:t>
      </w:r>
    </w:p>
    <w:p>
      <w:pPr>
        <w:pStyle w:val="ListParagraph"/>
        <w:numPr>
          <w:ilvl w:val="0"/>
          <w:numId w:val="2"/>
        </w:numPr>
        <w:spacing w:after="60"/>
      </w:pPr>
      <w:r>
        <w:t xml:space="preserve">Liquidated Damages: 0.5% of Contract Value per week of delay, capped at 10%.</w:t>
      </w:r>
    </w:p>
    <w:p>
      <w:pPr>
        <w:pStyle w:val="ListParagraph"/>
        <w:numPr>
          <w:ilvl w:val="0"/>
          <w:numId w:val="2"/>
        </w:numPr>
        <w:spacing w:after="60"/>
      </w:pPr>
      <w:r>
        <w:t xml:space="preserve">Defect Liability Period: 24 months from commissioning.</w:t>
      </w:r>
    </w:p>
    <w:p>
      <w:pPr>
        <w:pStyle w:val="ListParagraph"/>
        <w:numPr>
          <w:ilvl w:val="0"/>
          <w:numId w:val="2"/>
        </w:numPr>
        <w:spacing w:after="60"/>
      </w:pPr>
      <w:r>
        <w:t xml:space="preserve">Dispute Resolution: Arbitration under the Arbitration &amp; Conciliation Act, 1996; seat at Vadodara.</w:t>
      </w:r>
    </w:p>
    <w:p>
      <w:pPr>
        <w:pStyle w:val="ListParagraph"/>
        <w:numPr>
          <w:ilvl w:val="0"/>
          <w:numId w:val="2"/>
        </w:numPr>
        <w:spacing w:after="60"/>
      </w:pPr>
      <w:r>
        <w:t xml:space="preserve">Insurance: Contractor's All Risk (CAR) and Third-Party Liability Insurance for full contract duration.</w:t>
      </w:r>
    </w:p>
    <w:p>
      <w:pPr>
        <w:pStyle w:val="ListParagraph"/>
        <w:numPr>
          <w:ilvl w:val="0"/>
          <w:numId w:val="2"/>
        </w:numPr>
        <w:spacing w:after="60"/>
      </w:pPr>
      <w:r>
        <w:t xml:space="preserve">GSETCL reserves the right to accept/reject any bid and waive minor infirmities at its discretion.</w:t>
      </w:r>
    </w:p>
    <w:p>
      <w:pPr>
        <w:pStyle w:val="Heading1"/>
        <w:spacing w:after="150" w:before="300"/>
      </w:pPr>
      <w:r>
        <w:t xml:space="preserve">8. Bid Submission Requirements</w:t>
      </w:r>
    </w:p>
    <w:p>
      <w:pPr>
        <w:spacing w:after="120"/>
      </w:pPr>
      <w:r>
        <w:t xml:space="preserve">Bids shall be submitted online in two envelopes (Technical Bid without price information, and Price Bid) via the GSETCL e-Procurement portal, complete with all eligibility documents, technical proposal, methodology, QA/QC &amp; HSE plans, manpower and equipment deployment plans, and the priced Bill of Quantities (BOQ) in the prescribed format. All pages must be digitally signed by the authorized signatory. Bids received after the due date/time shall be summarily rejected.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2026-09-03T06:48:22.496Z</dcterms:created>
  <dcterms:modified xsi:type="dcterms:W3CDTF">2026-09-03T06:48:22.496Z</dcterms:modified>
</cp:coreProperties>
</file>

<file path=docProps/custom.xml><?xml version="1.0" encoding="utf-8"?>
<Properties xmlns="http://schemas.openxmlformats.org/officeDocument/2006/custom-properties" xmlns:vt="http://schemas.openxmlformats.org/officeDocument/2006/docPropsVTypes"/>
</file>