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pPr>
      <w:r>
        <w:rPr>
          <w:b/>
          <w:bCs/>
          <w:color w:val="5A1E1E"/>
          <w:sz w:val="40"/>
          <w:szCs w:val="40"/>
        </w:rPr>
        <w:t xml:space="preserve">NORTHFIELD UNIVERSITY</w:t>
      </w:r>
    </w:p>
    <w:p>
      <w:pPr>
        <w:spacing w:after="160"/>
      </w:pPr>
      <w:r>
        <w:rPr>
          <w:i/>
          <w:iCs/>
          <w:color w:val="595959"/>
          <w:sz w:val="22"/>
          <w:szCs w:val="22"/>
        </w:rPr>
        <w:t xml:space="preserve">Office of Auxiliary Services &amp; Procurement</w:t>
      </w:r>
    </w:p>
    <w:p>
      <w:pPr>
        <w:spacing w:after="160" w:before="160"/>
      </w:pPr>
      <w:r>
        <w:rPr>
          <w:b/>
          <w:bCs/>
          <w:color w:val="B00020"/>
          <w:sz w:val="24"/>
          <w:szCs w:val="24"/>
        </w:rPr>
        <w:t xml:space="preserve">REVISED ISSUE – SUPERSEDES RFP-NU-2026-0115</w:t>
      </w:r>
    </w:p>
    <w:p>
      <w:pPr>
        <w:spacing w:after="100" w:before="500"/>
      </w:pPr>
      <w:r>
        <w:rPr>
          <w:b/>
          <w:bCs/>
          <w:color w:val="B0402B"/>
          <w:sz w:val="34"/>
          <w:szCs w:val="34"/>
        </w:rPr>
        <w:t xml:space="preserve">REQUEST FOR PROPOSAL</w:t>
      </w:r>
    </w:p>
    <w:p>
      <w:pPr>
        <w:spacing w:after="80"/>
      </w:pPr>
      <w:r>
        <w:rPr>
          <w:b/>
          <w:bCs/>
          <w:color w:val="202020"/>
          <w:sz w:val="28"/>
          <w:szCs w:val="28"/>
        </w:rPr>
        <w:t xml:space="preserve">Campus Dining Services, Catering &amp; Meal Plan Management Program</w:t>
      </w:r>
    </w:p>
    <w:p>
      <w:pPr>
        <w:spacing w:after="400"/>
      </w:pPr>
      <w:r>
        <w:rPr>
          <w:i/>
          <w:iCs/>
          <w:color w:val="595959"/>
          <w:sz w:val="21"/>
          <w:szCs w:val="21"/>
        </w:rPr>
        <w:t xml:space="preserve">A multi-year auxiliary services contract for dining hall, retail food, and catering operations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F3E1DC" w:val="clear"/>
            <w:tcMar>
              <w:top w:type="dxa" w:w="80"/>
              <w:left w:type="dxa" w:w="100"/>
              <w:bottom w:type="dxa" w:w="80"/>
              <w:right w:type="dxa" w:w="100"/>
            </w:tcMar>
          </w:tcPr>
          <w:p>
            <w:r>
              <w:rPr>
                <w:b/>
                <w:bCs/>
                <w:color w:val="5A1E1E"/>
                <w:sz w:val="20"/>
                <w:szCs w:val="20"/>
              </w:rPr>
              <w:t xml:space="preserve">RFP Number</w:t>
            </w:r>
          </w:p>
        </w:tc>
        <w:tc>
          <w:tcPr>
            <w:tcW w:type="dxa" w:w="6150"/>
            <w:tcMar>
              <w:top w:type="dxa" w:w="80"/>
              <w:left w:type="dxa" w:w="100"/>
              <w:bottom w:type="dxa" w:w="80"/>
              <w:right w:type="dxa" w:w="100"/>
            </w:tcMar>
          </w:tcPr>
          <w:p>
            <w:r>
              <w:rPr>
                <w:b w:val="false"/>
                <w:bCs w:val="false"/>
                <w:color w:val="202020"/>
                <w:sz w:val="20"/>
                <w:szCs w:val="20"/>
              </w:rPr>
              <w:t xml:space="preserve">RFP-NU-2026-0115-R1</w:t>
            </w:r>
          </w:p>
        </w:tc>
      </w:tr>
      <w:tr>
        <w:tc>
          <w:tcPr>
            <w:tcW w:type="dxa" w:w="3200"/>
            <w:shd w:fill="F3E1DC" w:val="clear"/>
            <w:tcMar>
              <w:top w:type="dxa" w:w="80"/>
              <w:left w:type="dxa" w:w="100"/>
              <w:bottom w:type="dxa" w:w="80"/>
              <w:right w:type="dxa" w:w="100"/>
            </w:tcMar>
          </w:tcPr>
          <w:p>
            <w:r>
              <w:rPr>
                <w:b/>
                <w:bCs/>
                <w:color w:val="5A1E1E"/>
                <w:sz w:val="20"/>
                <w:szCs w:val="20"/>
              </w:rPr>
              <w:t xml:space="preserve">Issue Date</w:t>
            </w:r>
          </w:p>
        </w:tc>
        <w:tc>
          <w:tcPr>
            <w:tcW w:type="dxa" w:w="6150"/>
            <w:tcMar>
              <w:top w:type="dxa" w:w="80"/>
              <w:left w:type="dxa" w:w="100"/>
              <w:bottom w:type="dxa" w:w="80"/>
              <w:right w:type="dxa" w:w="100"/>
            </w:tcMar>
          </w:tcPr>
          <w:p>
            <w:r>
              <w:rPr>
                <w:b w:val="false"/>
                <w:bCs w:val="false"/>
                <w:color w:val="202020"/>
                <w:sz w:val="20"/>
                <w:szCs w:val="20"/>
              </w:rPr>
              <w:t xml:space="preserve">April 6, 2026</w:t>
            </w:r>
          </w:p>
        </w:tc>
      </w:tr>
      <w:tr>
        <w:tc>
          <w:tcPr>
            <w:tcW w:type="dxa" w:w="3200"/>
            <w:shd w:fill="F3E1DC" w:val="clear"/>
            <w:tcMar>
              <w:top w:type="dxa" w:w="80"/>
              <w:left w:type="dxa" w:w="100"/>
              <w:bottom w:type="dxa" w:w="80"/>
              <w:right w:type="dxa" w:w="100"/>
            </w:tcMar>
          </w:tcPr>
          <w:p>
            <w:r>
              <w:rPr>
                <w:b/>
                <w:bCs/>
                <w:color w:val="5A1E1E"/>
                <w:sz w:val="20"/>
                <w:szCs w:val="20"/>
              </w:rPr>
              <w:t xml:space="preserve">Proposal Submission Deadline</w:t>
            </w:r>
          </w:p>
        </w:tc>
        <w:tc>
          <w:tcPr>
            <w:tcW w:type="dxa" w:w="6150"/>
            <w:tcMar>
              <w:top w:type="dxa" w:w="80"/>
              <w:left w:type="dxa" w:w="100"/>
              <w:bottom w:type="dxa" w:w="80"/>
              <w:right w:type="dxa" w:w="100"/>
            </w:tcMar>
          </w:tcPr>
          <w:p>
            <w:r>
              <w:rPr>
                <w:b w:val="false"/>
                <w:bCs w:val="false"/>
                <w:color w:val="202020"/>
                <w:sz w:val="20"/>
                <w:szCs w:val="20"/>
              </w:rPr>
              <w:t xml:space="preserve">May 15, 2026, 3:00 PM EST</w:t>
            </w:r>
          </w:p>
        </w:tc>
      </w:tr>
      <w:tr>
        <w:tc>
          <w:tcPr>
            <w:tcW w:type="dxa" w:w="3200"/>
            <w:shd w:fill="F3E1DC" w:val="clear"/>
            <w:tcMar>
              <w:top w:type="dxa" w:w="80"/>
              <w:left w:type="dxa" w:w="100"/>
              <w:bottom w:type="dxa" w:w="80"/>
              <w:right w:type="dxa" w:w="100"/>
            </w:tcMar>
          </w:tcPr>
          <w:p>
            <w:r>
              <w:rPr>
                <w:b/>
                <w:bCs/>
                <w:color w:val="5A1E1E"/>
                <w:sz w:val="20"/>
                <w:szCs w:val="20"/>
              </w:rPr>
              <w:t xml:space="preserve">Issuing Organization</w:t>
            </w:r>
          </w:p>
        </w:tc>
        <w:tc>
          <w:tcPr>
            <w:tcW w:type="dxa" w:w="6150"/>
            <w:tcMar>
              <w:top w:type="dxa" w:w="80"/>
              <w:left w:type="dxa" w:w="100"/>
              <w:bottom w:type="dxa" w:w="80"/>
              <w:right w:type="dxa" w:w="100"/>
            </w:tcMar>
          </w:tcPr>
          <w:p>
            <w:r>
              <w:rPr>
                <w:b w:val="false"/>
                <w:bCs w:val="false"/>
                <w:color w:val="202020"/>
                <w:sz w:val="20"/>
                <w:szCs w:val="20"/>
              </w:rPr>
              <w:t xml:space="preserve">Northfield University</w:t>
            </w:r>
          </w:p>
        </w:tc>
      </w:tr>
      <w:tr>
        <w:tc>
          <w:tcPr>
            <w:tcW w:type="dxa" w:w="3200"/>
            <w:shd w:fill="F3E1DC" w:val="clear"/>
            <w:tcMar>
              <w:top w:type="dxa" w:w="80"/>
              <w:left w:type="dxa" w:w="100"/>
              <w:bottom w:type="dxa" w:w="80"/>
              <w:right w:type="dxa" w:w="100"/>
            </w:tcMar>
          </w:tcPr>
          <w:p>
            <w:r>
              <w:rPr>
                <w:b/>
                <w:bCs/>
                <w:color w:val="5A1E1E"/>
                <w:sz w:val="20"/>
                <w:szCs w:val="20"/>
              </w:rPr>
              <w:t xml:space="preserve">Category</w:t>
            </w:r>
          </w:p>
        </w:tc>
        <w:tc>
          <w:tcPr>
            <w:tcW w:type="dxa" w:w="6150"/>
            <w:tcMar>
              <w:top w:type="dxa" w:w="80"/>
              <w:left w:type="dxa" w:w="100"/>
              <w:bottom w:type="dxa" w:w="80"/>
              <w:right w:type="dxa" w:w="100"/>
            </w:tcMar>
          </w:tcPr>
          <w:p>
            <w:r>
              <w:rPr>
                <w:b w:val="false"/>
                <w:bCs w:val="false"/>
                <w:color w:val="202020"/>
                <w:sz w:val="20"/>
                <w:szCs w:val="20"/>
              </w:rPr>
              <w:t xml:space="preserve">Campus Auxiliary Services — Dining &amp; Meal Plan Management</w:t>
            </w:r>
          </w:p>
        </w:tc>
      </w:tr>
      <w:tr>
        <w:tc>
          <w:tcPr>
            <w:tcW w:type="dxa" w:w="3200"/>
            <w:shd w:fill="F3E1DC" w:val="clear"/>
            <w:tcMar>
              <w:top w:type="dxa" w:w="80"/>
              <w:left w:type="dxa" w:w="100"/>
              <w:bottom w:type="dxa" w:w="80"/>
              <w:right w:type="dxa" w:w="100"/>
            </w:tcMar>
          </w:tcPr>
          <w:p>
            <w:r>
              <w:rPr>
                <w:b/>
                <w:bCs/>
                <w:color w:val="5A1E1E"/>
                <w:sz w:val="20"/>
                <w:szCs w:val="20"/>
              </w:rPr>
              <w:t xml:space="preserve">Estimated Contract Value</w:t>
            </w:r>
          </w:p>
        </w:tc>
        <w:tc>
          <w:tcPr>
            <w:tcW w:type="dxa" w:w="6150"/>
            <w:tcMar>
              <w:top w:type="dxa" w:w="80"/>
              <w:left w:type="dxa" w:w="100"/>
              <w:bottom w:type="dxa" w:w="80"/>
              <w:right w:type="dxa" w:w="100"/>
            </w:tcMar>
          </w:tcPr>
          <w:p>
            <w:r>
              <w:rPr>
                <w:b w:val="false"/>
                <w:bCs w:val="false"/>
                <w:color w:val="202020"/>
                <w:sz w:val="20"/>
                <w:szCs w:val="20"/>
              </w:rPr>
              <w:t xml:space="preserve">See Section 11 — Commercial Terms</w:t>
            </w:r>
          </w:p>
        </w:tc>
      </w:tr>
    </w:tbl>
    <w:p>
      <w:r>
        <w:br w:type="page"/>
      </w:r>
    </w:p>
    <w:p>
      <w:pPr>
        <w:pStyle w:val="Heading1"/>
        <w:pBdr>
          <w:bottom w:val="single" w:color="B0402B" w:sz="6" w:space="4"/>
        </w:pBdr>
        <w:spacing w:after="160" w:before="340"/>
      </w:pPr>
      <w:r>
        <w:rPr>
          <w:b/>
          <w:bCs/>
          <w:color w:val="5A1E1E"/>
          <w:sz w:val="26"/>
          <w:szCs w:val="26"/>
        </w:rPr>
        <w:t xml:space="preserve">Table of Contents</w:t>
      </w:r>
    </w:p>
    <w:p>
      <w:pPr>
        <w:tabs>
          <w:tab w:val="right" w:pos="9000" w:leader="dot"/>
        </w:tabs>
        <w:spacing w:after="90"/>
      </w:pPr>
      <w:r>
        <w:rPr>
          <w:b/>
          <w:bCs/>
          <w:color w:val="5A1E1E"/>
          <w:sz w:val="21"/>
          <w:szCs w:val="21"/>
        </w:rPr>
        <w:t xml:space="preserve">1.  </w:t>
      </w:r>
      <w:r>
        <w:rPr>
          <w:sz w:val="21"/>
          <w:szCs w:val="21"/>
        </w:rPr>
        <w:t xml:space="preserve">Introduction &amp; Background</w:t>
      </w:r>
      <w:r>
        <w:rPr>
          <w:sz w:val="21"/>
          <w:szCs w:val="21"/>
        </w:rPr>
        <w:t xml:space="preserve">	3</w:t>
      </w:r>
    </w:p>
    <w:p>
      <w:pPr>
        <w:tabs>
          <w:tab w:val="right" w:pos="9000" w:leader="dot"/>
        </w:tabs>
        <w:spacing w:after="90"/>
      </w:pPr>
      <w:r>
        <w:rPr>
          <w:b/>
          <w:bCs/>
          <w:color w:val="5A1E1E"/>
          <w:sz w:val="21"/>
          <w:szCs w:val="21"/>
        </w:rPr>
        <w:t xml:space="preserve">2.  </w:t>
      </w:r>
      <w:r>
        <w:rPr>
          <w:sz w:val="21"/>
          <w:szCs w:val="21"/>
        </w:rPr>
        <w:t xml:space="preserve">Project Objectives</w:t>
      </w:r>
      <w:r>
        <w:rPr>
          <w:sz w:val="21"/>
          <w:szCs w:val="21"/>
        </w:rPr>
        <w:t xml:space="preserve">	3</w:t>
      </w:r>
    </w:p>
    <w:p>
      <w:pPr>
        <w:tabs>
          <w:tab w:val="right" w:pos="9000" w:leader="dot"/>
        </w:tabs>
        <w:spacing w:after="90"/>
      </w:pPr>
      <w:r>
        <w:rPr>
          <w:b/>
          <w:bCs/>
          <w:color w:val="5A1E1E"/>
          <w:sz w:val="21"/>
          <w:szCs w:val="21"/>
        </w:rPr>
        <w:t xml:space="preserve">3.  </w:t>
      </w:r>
      <w:r>
        <w:rPr>
          <w:sz w:val="21"/>
          <w:szCs w:val="21"/>
        </w:rPr>
        <w:t xml:space="preserve">Scope of Work</w:t>
      </w:r>
      <w:r>
        <w:rPr>
          <w:sz w:val="21"/>
          <w:szCs w:val="21"/>
        </w:rPr>
        <w:t xml:space="preserve">	4</w:t>
      </w:r>
    </w:p>
    <w:p>
      <w:pPr>
        <w:tabs>
          <w:tab w:val="right" w:pos="9000" w:leader="dot"/>
        </w:tabs>
        <w:spacing w:after="90"/>
      </w:pPr>
      <w:r>
        <w:rPr>
          <w:b/>
          <w:bCs/>
          <w:color w:val="5A1E1E"/>
          <w:sz w:val="21"/>
          <w:szCs w:val="21"/>
        </w:rPr>
        <w:t xml:space="preserve">4.  </w:t>
      </w:r>
      <w:r>
        <w:rPr>
          <w:sz w:val="21"/>
          <w:szCs w:val="21"/>
        </w:rPr>
        <w:t xml:space="preserve">Operational Requirements</w:t>
      </w:r>
      <w:r>
        <w:rPr>
          <w:sz w:val="21"/>
          <w:szCs w:val="21"/>
        </w:rPr>
        <w:t xml:space="preserve">	4</w:t>
      </w:r>
    </w:p>
    <w:p>
      <w:pPr>
        <w:tabs>
          <w:tab w:val="right" w:pos="9000" w:leader="dot"/>
        </w:tabs>
        <w:spacing w:after="90"/>
      </w:pPr>
      <w:r>
        <w:rPr>
          <w:b/>
          <w:bCs/>
          <w:color w:val="5A1E1E"/>
          <w:sz w:val="21"/>
          <w:szCs w:val="21"/>
        </w:rPr>
        <w:t xml:space="preserve">5.  </w:t>
      </w:r>
      <w:r>
        <w:rPr>
          <w:sz w:val="21"/>
          <w:szCs w:val="21"/>
        </w:rPr>
        <w:t xml:space="preserve">Eligibility Criteria</w:t>
      </w:r>
      <w:r>
        <w:rPr>
          <w:sz w:val="21"/>
          <w:szCs w:val="21"/>
        </w:rPr>
        <w:t xml:space="preserve">	5</w:t>
      </w:r>
    </w:p>
    <w:p>
      <w:pPr>
        <w:tabs>
          <w:tab w:val="right" w:pos="9000" w:leader="dot"/>
        </w:tabs>
        <w:spacing w:after="90"/>
      </w:pPr>
      <w:r>
        <w:rPr>
          <w:b/>
          <w:bCs/>
          <w:color w:val="5A1E1E"/>
          <w:sz w:val="21"/>
          <w:szCs w:val="21"/>
        </w:rPr>
        <w:t xml:space="preserve">6.  </w:t>
      </w:r>
      <w:r>
        <w:rPr>
          <w:sz w:val="21"/>
          <w:szCs w:val="21"/>
        </w:rPr>
        <w:t xml:space="preserve">Deliverables</w:t>
      </w:r>
      <w:r>
        <w:rPr>
          <w:sz w:val="21"/>
          <w:szCs w:val="21"/>
        </w:rPr>
        <w:t xml:space="preserve">	5</w:t>
      </w:r>
    </w:p>
    <w:p>
      <w:pPr>
        <w:tabs>
          <w:tab w:val="right" w:pos="9000" w:leader="dot"/>
        </w:tabs>
        <w:spacing w:after="90"/>
      </w:pPr>
      <w:r>
        <w:rPr>
          <w:b/>
          <w:bCs/>
          <w:color w:val="5A1E1E"/>
          <w:sz w:val="21"/>
          <w:szCs w:val="21"/>
        </w:rPr>
        <w:t xml:space="preserve">7.  </w:t>
      </w:r>
      <w:r>
        <w:rPr>
          <w:sz w:val="21"/>
          <w:szCs w:val="21"/>
        </w:rPr>
        <w:t xml:space="preserve">Project Timeline</w:t>
      </w:r>
      <w:r>
        <w:rPr>
          <w:sz w:val="21"/>
          <w:szCs w:val="21"/>
        </w:rPr>
        <w:t xml:space="preserve">	6</w:t>
      </w:r>
    </w:p>
    <w:p>
      <w:pPr>
        <w:tabs>
          <w:tab w:val="right" w:pos="9000" w:leader="dot"/>
        </w:tabs>
        <w:spacing w:after="90"/>
      </w:pPr>
      <w:r>
        <w:rPr>
          <w:b/>
          <w:bCs/>
          <w:color w:val="5A1E1E"/>
          <w:sz w:val="21"/>
          <w:szCs w:val="21"/>
        </w:rPr>
        <w:t xml:space="preserve">8.  </w:t>
      </w:r>
      <w:r>
        <w:rPr>
          <w:sz w:val="21"/>
          <w:szCs w:val="21"/>
        </w:rPr>
        <w:t xml:space="preserve">Evaluation Criteria</w:t>
      </w:r>
      <w:r>
        <w:rPr>
          <w:sz w:val="21"/>
          <w:szCs w:val="21"/>
        </w:rPr>
        <w:t xml:space="preserve">	6</w:t>
      </w:r>
    </w:p>
    <w:p>
      <w:pPr>
        <w:tabs>
          <w:tab w:val="right" w:pos="9000" w:leader="dot"/>
        </w:tabs>
        <w:spacing w:after="90"/>
      </w:pPr>
      <w:r>
        <w:rPr>
          <w:b/>
          <w:bCs/>
          <w:color w:val="5A1E1E"/>
          <w:sz w:val="21"/>
          <w:szCs w:val="21"/>
        </w:rPr>
        <w:t xml:space="preserve">9.  </w:t>
      </w:r>
      <w:r>
        <w:rPr>
          <w:sz w:val="21"/>
          <w:szCs w:val="21"/>
        </w:rPr>
        <w:t xml:space="preserve">Insurance Requirements</w:t>
      </w:r>
      <w:r>
        <w:rPr>
          <w:sz w:val="21"/>
          <w:szCs w:val="21"/>
        </w:rPr>
        <w:t xml:space="preserve">	7</w:t>
      </w:r>
    </w:p>
    <w:p>
      <w:pPr>
        <w:tabs>
          <w:tab w:val="right" w:pos="9000" w:leader="dot"/>
        </w:tabs>
        <w:spacing w:after="90"/>
      </w:pPr>
      <w:r>
        <w:rPr>
          <w:b/>
          <w:bCs/>
          <w:color w:val="5A1E1E"/>
          <w:sz w:val="21"/>
          <w:szCs w:val="21"/>
        </w:rPr>
        <w:t xml:space="preserve">10.  </w:t>
      </w:r>
      <w:r>
        <w:rPr>
          <w:sz w:val="21"/>
          <w:szCs w:val="21"/>
        </w:rPr>
        <w:t xml:space="preserve">Commercial Terms</w:t>
      </w:r>
      <w:r>
        <w:rPr>
          <w:sz w:val="21"/>
          <w:szCs w:val="21"/>
        </w:rPr>
        <w:t xml:space="preserve">	7</w:t>
      </w:r>
    </w:p>
    <w:p>
      <w:pPr>
        <w:tabs>
          <w:tab w:val="right" w:pos="9000" w:leader="dot"/>
        </w:tabs>
        <w:spacing w:after="90"/>
      </w:pPr>
      <w:r>
        <w:rPr>
          <w:b/>
          <w:bCs/>
          <w:color w:val="5A1E1E"/>
          <w:sz w:val="21"/>
          <w:szCs w:val="21"/>
        </w:rPr>
        <w:t xml:space="preserve">11.  </w:t>
      </w:r>
      <w:r>
        <w:rPr>
          <w:sz w:val="21"/>
          <w:szCs w:val="21"/>
        </w:rPr>
        <w:t xml:space="preserve">Submission Instructions</w:t>
      </w:r>
      <w:r>
        <w:rPr>
          <w:sz w:val="21"/>
          <w:szCs w:val="21"/>
        </w:rPr>
        <w:t xml:space="preserve">	8</w:t>
      </w:r>
    </w:p>
    <w:p>
      <w:pPr>
        <w:tabs>
          <w:tab w:val="right" w:pos="9000" w:leader="dot"/>
        </w:tabs>
        <w:spacing w:after="90"/>
      </w:pPr>
      <w:r>
        <w:rPr>
          <w:b/>
          <w:bCs/>
          <w:color w:val="5A1E1E"/>
          <w:sz w:val="21"/>
          <w:szCs w:val="21"/>
        </w:rPr>
        <w:t xml:space="preserve">12.  </w:t>
      </w:r>
      <w:r>
        <w:rPr>
          <w:sz w:val="21"/>
          <w:szCs w:val="21"/>
        </w:rPr>
        <w:t xml:space="preserve">Terms &amp; Conditions</w:t>
      </w:r>
      <w:r>
        <w:rPr>
          <w:sz w:val="21"/>
          <w:szCs w:val="21"/>
        </w:rPr>
        <w:t xml:space="preserve">	8</w:t>
      </w:r>
    </w:p>
    <w:p>
      <w:pPr>
        <w:tabs>
          <w:tab w:val="right" w:pos="9000" w:leader="dot"/>
        </w:tabs>
        <w:spacing w:after="90"/>
      </w:pPr>
      <w:r>
        <w:rPr>
          <w:b/>
          <w:bCs/>
          <w:color w:val="5A1E1E"/>
          <w:sz w:val="21"/>
          <w:szCs w:val="21"/>
        </w:rPr>
        <w:t xml:space="preserve">13.  </w:t>
      </w:r>
      <w:r>
        <w:rPr>
          <w:sz w:val="21"/>
          <w:szCs w:val="21"/>
        </w:rPr>
        <w:t xml:space="preserve">Contact Information</w:t>
      </w:r>
      <w:r>
        <w:rPr>
          <w:sz w:val="21"/>
          <w:szCs w:val="21"/>
        </w:rPr>
        <w:t xml:space="preserve">	9</w:t>
      </w:r>
    </w:p>
    <w:p>
      <w:pPr>
        <w:tabs>
          <w:tab w:val="right" w:pos="9000" w:leader="dot"/>
        </w:tabs>
        <w:spacing w:after="90"/>
      </w:pPr>
      <w:r>
        <w:rPr>
          <w:b/>
          <w:bCs/>
          <w:color w:val="5A1E1E"/>
          <w:sz w:val="21"/>
          <w:szCs w:val="21"/>
        </w:rPr>
        <w:t xml:space="preserve">Appendix A  </w:t>
      </w:r>
      <w:r>
        <w:rPr>
          <w:sz w:val="21"/>
          <w:szCs w:val="21"/>
        </w:rPr>
        <w:t xml:space="preserve">Pricing / Commission Form</w:t>
      </w:r>
      <w:r>
        <w:rPr>
          <w:sz w:val="21"/>
          <w:szCs w:val="21"/>
        </w:rPr>
        <w:t xml:space="preserve">	9</w:t>
      </w:r>
    </w:p>
    <w:p>
      <w:pPr>
        <w:tabs>
          <w:tab w:val="right" w:pos="9000" w:leader="dot"/>
        </w:tabs>
        <w:spacing w:after="90"/>
      </w:pPr>
      <w:r>
        <w:rPr>
          <w:b/>
          <w:bCs/>
          <w:color w:val="5A1E1E"/>
          <w:sz w:val="21"/>
          <w:szCs w:val="21"/>
        </w:rPr>
        <w:t xml:space="preserve">Appendix B  </w:t>
      </w:r>
      <w:r>
        <w:rPr>
          <w:sz w:val="21"/>
          <w:szCs w:val="21"/>
        </w:rPr>
        <w:t xml:space="preserve">Reference Form</w:t>
      </w:r>
      <w:r>
        <w:rPr>
          <w:sz w:val="21"/>
          <w:szCs w:val="21"/>
        </w:rPr>
        <w:t xml:space="preserve">	9</w:t>
      </w:r>
    </w:p>
    <w:p>
      <w:r>
        <w:br w:type="page"/>
      </w:r>
    </w:p>
    <w:p>
      <w:pPr>
        <w:pStyle w:val="Heading1"/>
        <w:pBdr>
          <w:bottom w:val="single" w:color="B0402B" w:sz="6" w:space="4"/>
        </w:pBdr>
        <w:spacing w:after="160" w:before="340"/>
      </w:pPr>
      <w:r>
        <w:rPr>
          <w:b/>
          <w:bCs/>
          <w:color w:val="5A1E1E"/>
          <w:sz w:val="26"/>
          <w:szCs w:val="26"/>
        </w:rPr>
        <w:t xml:space="preserve">1. Introduction &amp; Background</w:t>
      </w:r>
    </w:p>
    <w:p>
      <w:pPr>
        <w:spacing w:after="140" w:line="276"/>
      </w:pPr>
      <w:r>
        <w:rPr>
          <w:b w:val="false"/>
          <w:bCs w:val="false"/>
          <w:i w:val="false"/>
          <w:iCs w:val="false"/>
          <w:color w:val="202020"/>
          <w:sz w:val="21"/>
          <w:szCs w:val="21"/>
        </w:rPr>
        <w:t xml:space="preserve">Northfield University (“the University”) is a private university with approximately 8,900 undergraduate and graduate students, following stronger-than-expected fall 2026 enrollment and the planned opening of a sixth residence hall, Winthrop Commons, in fall 2027. The University operates 5 dining halls and 12 retail food locations across its main campus, with a sixth dining hall planned to open alongside Winthrop Commons. The University's current dining services contract expires on June 30, 2026, and the University is reissuing this Request for Proposal (RFP) to select a contracted dining services operator for the next contract term, with an expanded scope covering campus catering services.</w:t>
      </w:r>
    </w:p>
    <w:p>
      <w:pPr>
        <w:pStyle w:val="Heading1"/>
        <w:pBdr>
          <w:bottom w:val="single" w:color="B0402B" w:sz="6" w:space="4"/>
        </w:pBdr>
        <w:spacing w:after="160" w:before="340"/>
      </w:pPr>
      <w:r>
        <w:rPr>
          <w:b/>
          <w:bCs/>
          <w:color w:val="5A1E1E"/>
          <w:sz w:val="26"/>
          <w:szCs w:val="26"/>
        </w:rPr>
        <w:t xml:space="preserve">2. Project Objectives</w:t>
      </w:r>
    </w:p>
    <w:p>
      <w:pPr>
        <w:pStyle w:val="ListParagraph"/>
        <w:numPr>
          <w:ilvl w:val="0"/>
          <w:numId w:val="2"/>
        </w:numPr>
        <w:spacing w:after="80" w:line="264"/>
      </w:pPr>
      <w:r>
        <w:rPr>
          <w:sz w:val="21"/>
          <w:szCs w:val="21"/>
        </w:rPr>
        <w:t xml:space="preserve">Provide high-quality, diverse dining options across all campus dining halls and retail locations.</w:t>
      </w:r>
    </w:p>
    <w:p>
      <w:pPr>
        <w:pStyle w:val="ListParagraph"/>
        <w:numPr>
          <w:ilvl w:val="0"/>
          <w:numId w:val="2"/>
        </w:numPr>
        <w:spacing w:after="80" w:line="264"/>
      </w:pPr>
      <w:r>
        <w:rPr>
          <w:sz w:val="21"/>
          <w:szCs w:val="21"/>
        </w:rPr>
        <w:t xml:space="preserve">Improve allergen transparency and accommodation for students with dietary restrictions.</w:t>
      </w:r>
    </w:p>
    <w:p>
      <w:pPr>
        <w:pStyle w:val="ListParagraph"/>
        <w:numPr>
          <w:ilvl w:val="0"/>
          <w:numId w:val="2"/>
        </w:numPr>
        <w:spacing w:after="80" w:line="264"/>
      </w:pPr>
      <w:r>
        <w:rPr>
          <w:sz w:val="21"/>
          <w:szCs w:val="21"/>
        </w:rPr>
        <w:t xml:space="preserve">Increase the use of local and sustainably sourced ingredients.</w:t>
      </w:r>
    </w:p>
    <w:p>
      <w:pPr>
        <w:pStyle w:val="ListParagraph"/>
        <w:numPr>
          <w:ilvl w:val="0"/>
          <w:numId w:val="2"/>
        </w:numPr>
        <w:spacing w:after="80" w:line="264"/>
      </w:pPr>
      <w:r>
        <w:rPr>
          <w:sz w:val="21"/>
          <w:szCs w:val="21"/>
        </w:rPr>
        <w:t xml:space="preserve">Maintain student meal plan satisfaction scores of 80% or higher, as measured by the University's annual dining survey.</w:t>
      </w:r>
    </w:p>
    <w:p>
      <w:pPr>
        <w:pStyle w:val="ListParagraph"/>
        <w:numPr>
          <w:ilvl w:val="0"/>
          <w:numId w:val="2"/>
        </w:numPr>
        <w:spacing w:after="80" w:line="264"/>
      </w:pPr>
      <w:r>
        <w:rPr>
          <w:sz w:val="21"/>
          <w:szCs w:val="21"/>
        </w:rPr>
        <w:t xml:space="preserve">Establish a campus-wide food recovery and donation program to reduce food waste. [NEW]</w:t>
      </w:r>
    </w:p>
    <w:p>
      <w:pPr>
        <w:pStyle w:val="Heading1"/>
        <w:pBdr>
          <w:bottom w:val="single" w:color="B0402B" w:sz="6" w:space="4"/>
        </w:pBdr>
        <w:spacing w:after="160" w:before="340"/>
      </w:pPr>
      <w:r>
        <w:rPr>
          <w:b/>
          <w:bCs/>
          <w:color w:val="5A1E1E"/>
          <w:sz w:val="26"/>
          <w:szCs w:val="26"/>
        </w:rPr>
        <w:t xml:space="preserve">3. Scope of Work</w:t>
      </w:r>
    </w:p>
    <w:p>
      <w:pPr>
        <w:pStyle w:val="ListParagraph"/>
        <w:numPr>
          <w:ilvl w:val="0"/>
          <w:numId w:val="3"/>
        </w:numPr>
        <w:spacing w:after="100" w:line="264"/>
      </w:pPr>
      <w:r>
        <w:rPr>
          <w:sz w:val="21"/>
          <w:szCs w:val="21"/>
        </w:rPr>
        <w:t xml:space="preserve">Operate and staff 5 dining halls and 12 retail food locations across campus, with a sixth dining hall to be added at Winthrop Commons in fall 2027.</w:t>
      </w:r>
    </w:p>
    <w:p>
      <w:pPr>
        <w:pStyle w:val="ListParagraph"/>
        <w:numPr>
          <w:ilvl w:val="0"/>
          <w:numId w:val="3"/>
        </w:numPr>
        <w:spacing w:after="100" w:line="264"/>
      </w:pPr>
      <w:r>
        <w:rPr>
          <w:sz w:val="21"/>
          <w:szCs w:val="21"/>
        </w:rPr>
        <w:t xml:space="preserve">Manage meal plan billing and integrate with the University's CBORD student ID card system.</w:t>
      </w:r>
    </w:p>
    <w:p>
      <w:pPr>
        <w:pStyle w:val="ListParagraph"/>
        <w:numPr>
          <w:ilvl w:val="0"/>
          <w:numId w:val="3"/>
        </w:numPr>
        <w:spacing w:after="100" w:line="264"/>
      </w:pPr>
      <w:r>
        <w:rPr>
          <w:sz w:val="21"/>
          <w:szCs w:val="21"/>
        </w:rPr>
        <w:t xml:space="preserve">Provide allergen-friendly menu options and clear nutritional labeling at all dining locations, including a dedicated allergen-free preparation station in each dining hall. [MODIFIED]</w:t>
      </w:r>
    </w:p>
    <w:p>
      <w:pPr>
        <w:pStyle w:val="ListParagraph"/>
        <w:numPr>
          <w:ilvl w:val="0"/>
          <w:numId w:val="3"/>
        </w:numPr>
        <w:spacing w:after="100" w:line="264"/>
      </w:pPr>
      <w:r>
        <w:rPr>
          <w:sz w:val="21"/>
          <w:szCs w:val="21"/>
        </w:rPr>
        <w:t xml:space="preserve">Staff dining operations with approximately 205 full-time-equivalent (FTE) employees. [MODIFIED]</w:t>
      </w:r>
    </w:p>
    <w:p>
      <w:pPr>
        <w:pStyle w:val="ListParagraph"/>
        <w:numPr>
          <w:ilvl w:val="0"/>
          <w:numId w:val="3"/>
        </w:numPr>
        <w:spacing w:after="100" w:line="264"/>
      </w:pPr>
      <w:r>
        <w:rPr>
          <w:sz w:val="21"/>
          <w:szCs w:val="21"/>
        </w:rPr>
        <w:t xml:space="preserve">Implement a local and sustainable sourcing program targeting at least 30% of food spend. [MODIFIED]</w:t>
      </w:r>
    </w:p>
    <w:p>
      <w:pPr>
        <w:pStyle w:val="ListParagraph"/>
        <w:numPr>
          <w:ilvl w:val="0"/>
          <w:numId w:val="3"/>
        </w:numPr>
        <w:spacing w:after="100" w:line="264"/>
      </w:pPr>
      <w:r>
        <w:rPr>
          <w:sz w:val="21"/>
          <w:szCs w:val="21"/>
        </w:rPr>
        <w:t xml:space="preserve">Maintain and service kitchen equipment across all dining facilities.</w:t>
      </w:r>
    </w:p>
    <w:p>
      <w:pPr>
        <w:pStyle w:val="ListParagraph"/>
        <w:numPr>
          <w:ilvl w:val="0"/>
          <w:numId w:val="3"/>
        </w:numPr>
        <w:spacing w:after="100" w:line="264"/>
      </w:pPr>
      <w:r>
        <w:rPr>
          <w:sz w:val="21"/>
          <w:szCs w:val="21"/>
        </w:rPr>
        <w:t xml:space="preserve">Provide catering services for University events, conferences, and athletics, including off-campus catering for up to 15 events per year. [NEW]</w:t>
      </w:r>
    </w:p>
    <w:p>
      <w:pPr>
        <w:pStyle w:val="ListParagraph"/>
        <w:numPr>
          <w:ilvl w:val="0"/>
          <w:numId w:val="3"/>
        </w:numPr>
        <w:spacing w:after="100" w:line="264"/>
      </w:pPr>
      <w:r>
        <w:rPr>
          <w:sz w:val="21"/>
          <w:szCs w:val="21"/>
        </w:rPr>
        <w:t xml:space="preserve">Implement a food recovery and donation program, partnering with local food banks to redirect surplus food. [NEW]</w:t>
      </w:r>
    </w:p>
    <w:p>
      <w:r>
        <w:br w:type="page"/>
      </w:r>
    </w:p>
    <w:p>
      <w:pPr>
        <w:pStyle w:val="Heading1"/>
        <w:pBdr>
          <w:bottom w:val="single" w:color="B0402B" w:sz="6" w:space="4"/>
        </w:pBdr>
        <w:spacing w:after="160" w:before="340"/>
      </w:pPr>
      <w:r>
        <w:rPr>
          <w:b/>
          <w:bCs/>
          <w:color w:val="5A1E1E"/>
          <w:sz w:val="26"/>
          <w:szCs w:val="26"/>
        </w:rPr>
        <w:t xml:space="preserve">4. Operational Requirements</w:t>
      </w:r>
    </w:p>
    <w:p>
      <w:pPr>
        <w:pStyle w:val="ListParagraph"/>
        <w:numPr>
          <w:ilvl w:val="0"/>
          <w:numId w:val="2"/>
        </w:numPr>
        <w:spacing w:after="80" w:line="264"/>
      </w:pPr>
      <w:r>
        <w:rPr>
          <w:sz w:val="21"/>
          <w:szCs w:val="21"/>
        </w:rPr>
        <w:t xml:space="preserve">Point-of-sale (POS) integration with the University's existing CBORD student ID card system.</w:t>
      </w:r>
    </w:p>
    <w:p>
      <w:pPr>
        <w:pStyle w:val="ListParagraph"/>
        <w:numPr>
          <w:ilvl w:val="0"/>
          <w:numId w:val="2"/>
        </w:numPr>
        <w:spacing w:after="80" w:line="264"/>
      </w:pPr>
      <w:r>
        <w:rPr>
          <w:sz w:val="21"/>
          <w:szCs w:val="21"/>
        </w:rPr>
        <w:t xml:space="preserve">Online ordering and a mobile app for menu viewing, mobile ordering, and meal plan balance tracking.</w:t>
      </w:r>
    </w:p>
    <w:p>
      <w:pPr>
        <w:pStyle w:val="ListParagraph"/>
        <w:numPr>
          <w:ilvl w:val="0"/>
          <w:numId w:val="2"/>
        </w:numPr>
        <w:spacing w:after="80" w:line="264"/>
      </w:pPr>
      <w:r>
        <w:rPr>
          <w:sz w:val="21"/>
          <w:szCs w:val="21"/>
        </w:rPr>
        <w:t xml:space="preserve">Nutritional and allergen labeling for all menu items, updated each semester.</w:t>
      </w:r>
    </w:p>
    <w:p>
      <w:pPr>
        <w:pStyle w:val="ListParagraph"/>
        <w:numPr>
          <w:ilvl w:val="0"/>
          <w:numId w:val="2"/>
        </w:numPr>
        <w:spacing w:after="80" w:line="264"/>
      </w:pPr>
      <w:r>
        <w:rPr>
          <w:sz w:val="21"/>
          <w:szCs w:val="21"/>
        </w:rPr>
        <w:t xml:space="preserve">Compliance with all applicable state and local health department codes and inspection requirements.</w:t>
      </w:r>
    </w:p>
    <w:p>
      <w:pPr>
        <w:pStyle w:val="ListParagraph"/>
        <w:numPr>
          <w:ilvl w:val="0"/>
          <w:numId w:val="2"/>
        </w:numPr>
        <w:spacing w:after="80" w:line="264"/>
      </w:pPr>
      <w:r>
        <w:rPr>
          <w:sz w:val="21"/>
          <w:szCs w:val="21"/>
        </w:rPr>
        <w:t xml:space="preserve">At least one dedicated vegetarian/vegan station in each dining hall.</w:t>
      </w:r>
    </w:p>
    <w:p>
      <w:pPr>
        <w:pStyle w:val="ListParagraph"/>
        <w:numPr>
          <w:ilvl w:val="0"/>
          <w:numId w:val="2"/>
        </w:numPr>
        <w:spacing w:after="80" w:line="264"/>
      </w:pPr>
      <w:r>
        <w:rPr>
          <w:sz w:val="21"/>
          <w:szCs w:val="21"/>
        </w:rPr>
        <w:t xml:space="preserve">Dedicated catering event-management staff and online catering order portal for University departments. [NEW]</w:t>
      </w:r>
    </w:p>
    <w:p>
      <w:pPr>
        <w:pStyle w:val="Heading1"/>
        <w:pBdr>
          <w:bottom w:val="single" w:color="B0402B" w:sz="6" w:space="4"/>
        </w:pBdr>
        <w:spacing w:after="160" w:before="340"/>
      </w:pPr>
      <w:r>
        <w:rPr>
          <w:b/>
          <w:bCs/>
          <w:color w:val="5A1E1E"/>
          <w:sz w:val="26"/>
          <w:szCs w:val="26"/>
        </w:rPr>
        <w:t xml:space="preserve">5. Eligibility Criteria</w:t>
      </w:r>
    </w:p>
    <w:p>
      <w:pPr>
        <w:spacing w:after="140" w:line="276"/>
      </w:pPr>
      <w:r>
        <w:rPr>
          <w:b/>
          <w:bCs/>
          <w:i w:val="false"/>
          <w:iCs w:val="false"/>
          <w:color w:val="202020"/>
          <w:sz w:val="21"/>
          <w:szCs w:val="21"/>
        </w:rPr>
        <w:t xml:space="preserve">To be eligible for consideration, vendors must meet all of the following minimum criteria:</w:t>
      </w:r>
    </w:p>
    <w:p>
      <w:pPr>
        <w:pStyle w:val="ListParagraph"/>
        <w:numPr>
          <w:ilvl w:val="0"/>
          <w:numId w:val="2"/>
        </w:numPr>
        <w:spacing w:after="80" w:line="264"/>
      </w:pPr>
      <w:r>
        <w:rPr>
          <w:sz w:val="21"/>
          <w:szCs w:val="21"/>
        </w:rPr>
        <w:t xml:space="preserve">Minimum of 7 years of experience operating contracted dining services at higher education institutions. [MODIFIED]</w:t>
      </w:r>
    </w:p>
    <w:p>
      <w:pPr>
        <w:pStyle w:val="ListParagraph"/>
        <w:numPr>
          <w:ilvl w:val="0"/>
          <w:numId w:val="2"/>
        </w:numPr>
        <w:spacing w:after="80" w:line="264"/>
      </w:pPr>
      <w:r>
        <w:rPr>
          <w:sz w:val="21"/>
          <w:szCs w:val="21"/>
        </w:rPr>
        <w:t xml:space="preserve">Minimum annual revenue of $30,000,000 (audited financials for the most recent fiscal year required). [MODIFIED]</w:t>
      </w:r>
    </w:p>
    <w:p>
      <w:pPr>
        <w:pStyle w:val="ListParagraph"/>
        <w:numPr>
          <w:ilvl w:val="0"/>
          <w:numId w:val="2"/>
        </w:numPr>
        <w:spacing w:after="80" w:line="264"/>
      </w:pPr>
      <w:r>
        <w:rPr>
          <w:sz w:val="21"/>
          <w:szCs w:val="21"/>
        </w:rPr>
        <w:t xml:space="preserve">At least 4 reference accounts at universities with 5,000 or more students, currently active or completed within the past 5 years, of which at least 1 must include a catering services program. [MODIFIED]</w:t>
      </w:r>
    </w:p>
    <w:p>
      <w:pPr>
        <w:pStyle w:val="ListParagraph"/>
        <w:numPr>
          <w:ilvl w:val="0"/>
          <w:numId w:val="2"/>
        </w:numPr>
        <w:spacing w:after="80" w:line="264"/>
      </w:pPr>
      <w:r>
        <w:rPr>
          <w:sz w:val="21"/>
          <w:szCs w:val="21"/>
        </w:rPr>
        <w:t xml:space="preserve">Minimum insurance coverage: $8,000,000 general liability; $3,000,000 professional liability. [MODIFIED]</w:t>
      </w:r>
    </w:p>
    <w:p>
      <w:pPr>
        <w:pStyle w:val="Heading1"/>
        <w:pBdr>
          <w:bottom w:val="single" w:color="B0402B" w:sz="6" w:space="4"/>
        </w:pBdr>
        <w:spacing w:after="160" w:before="340"/>
      </w:pPr>
      <w:r>
        <w:rPr>
          <w:b/>
          <w:bCs/>
          <w:color w:val="5A1E1E"/>
          <w:sz w:val="26"/>
          <w:szCs w:val="26"/>
        </w:rPr>
        <w:t xml:space="preserve">6. Deliverables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5850"/>
        <w:gridCol w:w="2800"/>
      </w:tblGrid>
      <w:tr>
        <w:trPr>
          <w:tblHeader/>
        </w:trPr>
        <w:tc>
          <w:tcPr>
            <w:tcW w:type="dxa" w:w="700"/>
            <w:shd w:fill="5A1E1E" w:val="clear"/>
            <w:tcMar>
              <w:top w:type="dxa" w:w="80"/>
              <w:left w:type="dxa" w:w="100"/>
              <w:bottom w:type="dxa" w:w="80"/>
              <w:right w:type="dxa" w:w="100"/>
            </w:tcMar>
          </w:tcPr>
          <w:p>
            <w:r>
              <w:rPr>
                <w:b/>
                <w:bCs/>
                <w:color w:val="FFFFFF"/>
                <w:sz w:val="20"/>
                <w:szCs w:val="20"/>
              </w:rPr>
              <w:t xml:space="preserve">#</w:t>
            </w:r>
          </w:p>
        </w:tc>
        <w:tc>
          <w:tcPr>
            <w:tcW w:type="dxa" w:w="5850"/>
            <w:shd w:fill="5A1E1E" w:val="clear"/>
            <w:tcMar>
              <w:top w:type="dxa" w:w="80"/>
              <w:left w:type="dxa" w:w="100"/>
              <w:bottom w:type="dxa" w:w="80"/>
              <w:right w:type="dxa" w:w="100"/>
            </w:tcMar>
          </w:tcPr>
          <w:p>
            <w:r>
              <w:rPr>
                <w:b/>
                <w:bCs/>
                <w:color w:val="FFFFFF"/>
                <w:sz w:val="20"/>
                <w:szCs w:val="20"/>
              </w:rPr>
              <w:t xml:space="preserve">Deliverable</w:t>
            </w:r>
          </w:p>
        </w:tc>
        <w:tc>
          <w:tcPr>
            <w:tcW w:type="dxa" w:w="2800"/>
            <w:shd w:fill="5A1E1E" w:val="clear"/>
            <w:tcMar>
              <w:top w:type="dxa" w:w="80"/>
              <w:left w:type="dxa" w:w="100"/>
              <w:bottom w:type="dxa" w:w="80"/>
              <w:right w:type="dxa" w:w="100"/>
            </w:tcMar>
          </w:tcPr>
          <w:p>
            <w:r>
              <w:rPr>
                <w:b/>
                <w:bCs/>
                <w:color w:val="FFFFFF"/>
                <w:sz w:val="20"/>
                <w:szCs w:val="20"/>
              </w:rPr>
              <w:t xml:space="preserve">Due</w:t>
            </w:r>
          </w:p>
        </w:tc>
      </w:tr>
      <w:tr>
        <w:tc>
          <w:tcPr>
            <w:tcW w:type="dxa" w:w="700"/>
            <w:tcMar>
              <w:top w:type="dxa" w:w="80"/>
              <w:left w:type="dxa" w:w="100"/>
              <w:bottom w:type="dxa" w:w="80"/>
              <w:right w:type="dxa" w:w="100"/>
            </w:tcMar>
          </w:tcPr>
          <w:p>
            <w:r>
              <w:rPr>
                <w:b w:val="false"/>
                <w:bCs w:val="false"/>
                <w:color w:val="202020"/>
                <w:sz w:val="20"/>
                <w:szCs w:val="20"/>
              </w:rPr>
              <w:t xml:space="preserve">1</w:t>
            </w:r>
          </w:p>
        </w:tc>
        <w:tc>
          <w:tcPr>
            <w:tcW w:type="dxa" w:w="5850"/>
            <w:tcMar>
              <w:top w:type="dxa" w:w="80"/>
              <w:left w:type="dxa" w:w="100"/>
              <w:bottom w:type="dxa" w:w="80"/>
              <w:right w:type="dxa" w:w="100"/>
            </w:tcMar>
          </w:tcPr>
          <w:p>
            <w:r>
              <w:rPr>
                <w:b w:val="false"/>
                <w:bCs w:val="false"/>
                <w:color w:val="202020"/>
                <w:sz w:val="20"/>
                <w:szCs w:val="20"/>
              </w:rPr>
              <w:t xml:space="preserve">Transition &amp; Staffing Plan</w:t>
            </w:r>
          </w:p>
        </w:tc>
        <w:tc>
          <w:tcPr>
            <w:tcW w:type="dxa" w:w="2800"/>
            <w:tcMar>
              <w:top w:type="dxa" w:w="80"/>
              <w:left w:type="dxa" w:w="100"/>
              <w:bottom w:type="dxa" w:w="80"/>
              <w:right w:type="dxa" w:w="100"/>
            </w:tcMar>
          </w:tcPr>
          <w:p>
            <w:r>
              <w:rPr>
                <w:b w:val="false"/>
                <w:bCs w:val="false"/>
                <w:color w:val="202020"/>
                <w:sz w:val="20"/>
                <w:szCs w:val="20"/>
              </w:rPr>
              <w:t xml:space="preserve">45 days after contract award</w:t>
            </w:r>
          </w:p>
        </w:tc>
      </w:tr>
      <w:tr>
        <w:tc>
          <w:tcPr>
            <w:tcW w:type="dxa" w:w="700"/>
            <w:tcMar>
              <w:top w:type="dxa" w:w="80"/>
              <w:left w:type="dxa" w:w="100"/>
              <w:bottom w:type="dxa" w:w="80"/>
              <w:right w:type="dxa" w:w="100"/>
            </w:tcMar>
          </w:tcPr>
          <w:p>
            <w:r>
              <w:rPr>
                <w:b w:val="false"/>
                <w:bCs w:val="false"/>
                <w:color w:val="202020"/>
                <w:sz w:val="20"/>
                <w:szCs w:val="20"/>
              </w:rPr>
              <w:t xml:space="preserve">2</w:t>
            </w:r>
          </w:p>
        </w:tc>
        <w:tc>
          <w:tcPr>
            <w:tcW w:type="dxa" w:w="5850"/>
            <w:tcMar>
              <w:top w:type="dxa" w:w="80"/>
              <w:left w:type="dxa" w:w="100"/>
              <w:bottom w:type="dxa" w:w="80"/>
              <w:right w:type="dxa" w:w="100"/>
            </w:tcMar>
          </w:tcPr>
          <w:p>
            <w:r>
              <w:rPr>
                <w:b w:val="false"/>
                <w:bCs w:val="false"/>
                <w:color w:val="202020"/>
                <w:sz w:val="20"/>
                <w:szCs w:val="20"/>
              </w:rPr>
              <w:t xml:space="preserve">Menu Program &amp; Allergen Labeling Plan</w:t>
            </w:r>
          </w:p>
        </w:tc>
        <w:tc>
          <w:tcPr>
            <w:tcW w:type="dxa" w:w="2800"/>
            <w:tcMar>
              <w:top w:type="dxa" w:w="80"/>
              <w:left w:type="dxa" w:w="100"/>
              <w:bottom w:type="dxa" w:w="80"/>
              <w:right w:type="dxa" w:w="100"/>
            </w:tcMar>
          </w:tcPr>
          <w:p>
            <w:r>
              <w:rPr>
                <w:b w:val="false"/>
                <w:bCs w:val="false"/>
                <w:color w:val="202020"/>
                <w:sz w:val="20"/>
                <w:szCs w:val="20"/>
              </w:rPr>
              <w:t xml:space="preserve">60 days after contract award</w:t>
            </w:r>
          </w:p>
        </w:tc>
      </w:tr>
      <w:tr>
        <w:tc>
          <w:tcPr>
            <w:tcW w:type="dxa" w:w="700"/>
            <w:tcMar>
              <w:top w:type="dxa" w:w="80"/>
              <w:left w:type="dxa" w:w="100"/>
              <w:bottom w:type="dxa" w:w="80"/>
              <w:right w:type="dxa" w:w="100"/>
            </w:tcMar>
          </w:tcPr>
          <w:p>
            <w:r>
              <w:rPr>
                <w:b w:val="false"/>
                <w:bCs w:val="false"/>
                <w:color w:val="202020"/>
                <w:sz w:val="20"/>
                <w:szCs w:val="20"/>
              </w:rPr>
              <w:t xml:space="preserve">3</w:t>
            </w:r>
          </w:p>
        </w:tc>
        <w:tc>
          <w:tcPr>
            <w:tcW w:type="dxa" w:w="5850"/>
            <w:tcMar>
              <w:top w:type="dxa" w:w="80"/>
              <w:left w:type="dxa" w:w="100"/>
              <w:bottom w:type="dxa" w:w="80"/>
              <w:right w:type="dxa" w:w="100"/>
            </w:tcMar>
          </w:tcPr>
          <w:p>
            <w:r>
              <w:rPr>
                <w:b w:val="false"/>
                <w:bCs w:val="false"/>
                <w:color w:val="202020"/>
                <w:sz w:val="20"/>
                <w:szCs w:val="20"/>
              </w:rPr>
              <w:t xml:space="preserve">Sustainability, Local Sourcing &amp; Food Recovery Plan</w:t>
            </w:r>
          </w:p>
        </w:tc>
        <w:tc>
          <w:tcPr>
            <w:tcW w:type="dxa" w:w="2800"/>
            <w:tcMar>
              <w:top w:type="dxa" w:w="80"/>
              <w:left w:type="dxa" w:w="100"/>
              <w:bottom w:type="dxa" w:w="80"/>
              <w:right w:type="dxa" w:w="100"/>
            </w:tcMar>
          </w:tcPr>
          <w:p>
            <w:r>
              <w:rPr>
                <w:b w:val="false"/>
                <w:bCs w:val="false"/>
                <w:color w:val="202020"/>
                <w:sz w:val="20"/>
                <w:szCs w:val="20"/>
              </w:rPr>
              <w:t xml:space="preserve">60 days after contract award</w:t>
            </w:r>
          </w:p>
        </w:tc>
      </w:tr>
      <w:tr>
        <w:tc>
          <w:tcPr>
            <w:tcW w:type="dxa" w:w="700"/>
            <w:tcMar>
              <w:top w:type="dxa" w:w="80"/>
              <w:left w:type="dxa" w:w="100"/>
              <w:bottom w:type="dxa" w:w="80"/>
              <w:right w:type="dxa" w:w="100"/>
            </w:tcMar>
          </w:tcPr>
          <w:p>
            <w:r>
              <w:rPr>
                <w:b w:val="false"/>
                <w:bCs w:val="false"/>
                <w:color w:val="202020"/>
                <w:sz w:val="20"/>
                <w:szCs w:val="20"/>
              </w:rPr>
              <w:t xml:space="preserve">4</w:t>
            </w:r>
          </w:p>
        </w:tc>
        <w:tc>
          <w:tcPr>
            <w:tcW w:type="dxa" w:w="5850"/>
            <w:tcMar>
              <w:top w:type="dxa" w:w="80"/>
              <w:left w:type="dxa" w:w="100"/>
              <w:bottom w:type="dxa" w:w="80"/>
              <w:right w:type="dxa" w:w="100"/>
            </w:tcMar>
          </w:tcPr>
          <w:p>
            <w:r>
              <w:rPr>
                <w:b w:val="false"/>
                <w:bCs w:val="false"/>
                <w:color w:val="202020"/>
                <w:sz w:val="20"/>
                <w:szCs w:val="20"/>
              </w:rPr>
              <w:t xml:space="preserve">CBORD POS Integration Testing Report</w:t>
            </w:r>
          </w:p>
        </w:tc>
        <w:tc>
          <w:tcPr>
            <w:tcW w:type="dxa" w:w="2800"/>
            <w:tcMar>
              <w:top w:type="dxa" w:w="80"/>
              <w:left w:type="dxa" w:w="100"/>
              <w:bottom w:type="dxa" w:w="80"/>
              <w:right w:type="dxa" w:w="100"/>
            </w:tcMar>
          </w:tcPr>
          <w:p>
            <w:r>
              <w:rPr>
                <w:b w:val="false"/>
                <w:bCs w:val="false"/>
                <w:color w:val="202020"/>
                <w:sz w:val="20"/>
                <w:szCs w:val="20"/>
              </w:rPr>
              <w:t xml:space="preserve">Prior to fall opening</w:t>
            </w:r>
          </w:p>
        </w:tc>
      </w:tr>
      <w:tr>
        <w:tc>
          <w:tcPr>
            <w:tcW w:type="dxa" w:w="700"/>
            <w:tcMar>
              <w:top w:type="dxa" w:w="80"/>
              <w:left w:type="dxa" w:w="100"/>
              <w:bottom w:type="dxa" w:w="80"/>
              <w:right w:type="dxa" w:w="100"/>
            </w:tcMar>
          </w:tcPr>
          <w:p>
            <w:r>
              <w:rPr>
                <w:b w:val="false"/>
                <w:bCs w:val="false"/>
                <w:color w:val="202020"/>
                <w:sz w:val="20"/>
                <w:szCs w:val="20"/>
              </w:rPr>
              <w:t xml:space="preserve">5</w:t>
            </w:r>
          </w:p>
        </w:tc>
        <w:tc>
          <w:tcPr>
            <w:tcW w:type="dxa" w:w="5850"/>
            <w:tcMar>
              <w:top w:type="dxa" w:w="80"/>
              <w:left w:type="dxa" w:w="100"/>
              <w:bottom w:type="dxa" w:w="80"/>
              <w:right w:type="dxa" w:w="100"/>
            </w:tcMar>
          </w:tcPr>
          <w:p>
            <w:r>
              <w:rPr>
                <w:b w:val="false"/>
                <w:bCs w:val="false"/>
                <w:color w:val="202020"/>
                <w:sz w:val="20"/>
                <w:szCs w:val="20"/>
              </w:rPr>
              <w:t xml:space="preserve">Catering Services Launch Plan [NEW]</w:t>
            </w:r>
          </w:p>
        </w:tc>
        <w:tc>
          <w:tcPr>
            <w:tcW w:type="dxa" w:w="2800"/>
            <w:tcMar>
              <w:top w:type="dxa" w:w="80"/>
              <w:left w:type="dxa" w:w="100"/>
              <w:bottom w:type="dxa" w:w="80"/>
              <w:right w:type="dxa" w:w="100"/>
            </w:tcMar>
          </w:tcPr>
          <w:p>
            <w:r>
              <w:rPr>
                <w:b w:val="false"/>
                <w:bCs w:val="false"/>
                <w:color w:val="202020"/>
                <w:sz w:val="20"/>
                <w:szCs w:val="20"/>
              </w:rPr>
              <w:t xml:space="preserve">90 days after contract award</w:t>
            </w:r>
          </w:p>
        </w:tc>
      </w:tr>
      <w:tr>
        <w:tc>
          <w:tcPr>
            <w:tcW w:type="dxa" w:w="700"/>
            <w:tcMar>
              <w:top w:type="dxa" w:w="80"/>
              <w:left w:type="dxa" w:w="100"/>
              <w:bottom w:type="dxa" w:w="80"/>
              <w:right w:type="dxa" w:w="100"/>
            </w:tcMar>
          </w:tcPr>
          <w:p>
            <w:r>
              <w:rPr>
                <w:b w:val="false"/>
                <w:bCs w:val="false"/>
                <w:color w:val="202020"/>
                <w:sz w:val="20"/>
                <w:szCs w:val="20"/>
              </w:rPr>
              <w:t xml:space="preserve">6</w:t>
            </w:r>
          </w:p>
        </w:tc>
        <w:tc>
          <w:tcPr>
            <w:tcW w:type="dxa" w:w="5850"/>
            <w:tcMar>
              <w:top w:type="dxa" w:w="80"/>
              <w:left w:type="dxa" w:w="100"/>
              <w:bottom w:type="dxa" w:w="80"/>
              <w:right w:type="dxa" w:w="100"/>
            </w:tcMar>
          </w:tcPr>
          <w:p>
            <w:r>
              <w:rPr>
                <w:b w:val="false"/>
                <w:bCs w:val="false"/>
                <w:color w:val="202020"/>
                <w:sz w:val="20"/>
                <w:szCs w:val="20"/>
              </w:rPr>
              <w:t xml:space="preserve">Winthrop Commons Dining Hall Design &amp; Staffing Plan [NEW]</w:t>
            </w:r>
          </w:p>
        </w:tc>
        <w:tc>
          <w:tcPr>
            <w:tcW w:type="dxa" w:w="2800"/>
            <w:tcMar>
              <w:top w:type="dxa" w:w="80"/>
              <w:left w:type="dxa" w:w="100"/>
              <w:bottom w:type="dxa" w:w="80"/>
              <w:right w:type="dxa" w:w="100"/>
            </w:tcMar>
          </w:tcPr>
          <w:p>
            <w:r>
              <w:rPr>
                <w:b w:val="false"/>
                <w:bCs w:val="false"/>
                <w:color w:val="202020"/>
                <w:sz w:val="20"/>
                <w:szCs w:val="20"/>
              </w:rPr>
              <w:t xml:space="preserve">By January 2027</w:t>
            </w:r>
          </w:p>
        </w:tc>
      </w:tr>
      <w:tr>
        <w:tc>
          <w:tcPr>
            <w:tcW w:type="dxa" w:w="700"/>
            <w:tcMar>
              <w:top w:type="dxa" w:w="80"/>
              <w:left w:type="dxa" w:w="100"/>
              <w:bottom w:type="dxa" w:w="80"/>
              <w:right w:type="dxa" w:w="100"/>
            </w:tcMar>
          </w:tcPr>
          <w:p>
            <w:r>
              <w:rPr>
                <w:b w:val="false"/>
                <w:bCs w:val="false"/>
                <w:color w:val="202020"/>
                <w:sz w:val="20"/>
                <w:szCs w:val="20"/>
              </w:rPr>
              <w:t xml:space="preserve">7</w:t>
            </w:r>
          </w:p>
        </w:tc>
        <w:tc>
          <w:tcPr>
            <w:tcW w:type="dxa" w:w="5850"/>
            <w:tcMar>
              <w:top w:type="dxa" w:w="80"/>
              <w:left w:type="dxa" w:w="100"/>
              <w:bottom w:type="dxa" w:w="80"/>
              <w:right w:type="dxa" w:w="100"/>
            </w:tcMar>
          </w:tcPr>
          <w:p>
            <w:r>
              <w:rPr>
                <w:b w:val="false"/>
                <w:bCs w:val="false"/>
                <w:color w:val="202020"/>
                <w:sz w:val="20"/>
                <w:szCs w:val="20"/>
              </w:rPr>
              <w:t xml:space="preserve">Annual Dining Services Performance Report</w:t>
            </w:r>
          </w:p>
        </w:tc>
        <w:tc>
          <w:tcPr>
            <w:tcW w:type="dxa" w:w="2800"/>
            <w:tcMar>
              <w:top w:type="dxa" w:w="80"/>
              <w:left w:type="dxa" w:w="100"/>
              <w:bottom w:type="dxa" w:w="80"/>
              <w:right w:type="dxa" w:w="100"/>
            </w:tcMar>
          </w:tcPr>
          <w:p>
            <w:r>
              <w:rPr>
                <w:b w:val="false"/>
                <w:bCs w:val="false"/>
                <w:color w:val="202020"/>
                <w:sz w:val="20"/>
                <w:szCs w:val="20"/>
              </w:rPr>
              <w:t xml:space="preserve">Annually, each August</w:t>
            </w:r>
          </w:p>
        </w:tc>
      </w:tr>
    </w:tbl>
    <w:p>
      <w:pPr>
        <w:pStyle w:val="Heading1"/>
        <w:pBdr>
          <w:bottom w:val="single" w:color="B0402B" w:sz="6" w:space="4"/>
        </w:pBdr>
        <w:spacing w:after="160" w:before="340"/>
      </w:pPr>
      <w:r>
        <w:rPr>
          <w:b/>
          <w:bCs/>
          <w:color w:val="5A1E1E"/>
          <w:sz w:val="26"/>
          <w:szCs w:val="26"/>
        </w:rPr>
        <w:t xml:space="preserve">7. Project Timeline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850"/>
        <w:gridCol w:w="3500"/>
      </w:tblGrid>
      <w:tr>
        <w:trPr>
          <w:tblHeader/>
        </w:trPr>
        <w:tc>
          <w:tcPr>
            <w:tcW w:type="dxa" w:w="5850"/>
            <w:shd w:fill="5A1E1E" w:val="clear"/>
            <w:tcMar>
              <w:top w:type="dxa" w:w="80"/>
              <w:left w:type="dxa" w:w="100"/>
              <w:bottom w:type="dxa" w:w="80"/>
              <w:right w:type="dxa" w:w="100"/>
            </w:tcMar>
          </w:tcPr>
          <w:p>
            <w:r>
              <w:rPr>
                <w:b/>
                <w:bCs/>
                <w:color w:val="FFFFFF"/>
                <w:sz w:val="20"/>
                <w:szCs w:val="20"/>
              </w:rPr>
              <w:t xml:space="preserve">Milestone</w:t>
            </w:r>
          </w:p>
        </w:tc>
        <w:tc>
          <w:tcPr>
            <w:tcW w:type="dxa" w:w="3500"/>
            <w:shd w:fill="5A1E1E" w:val="clear"/>
            <w:tcMar>
              <w:top w:type="dxa" w:w="80"/>
              <w:left w:type="dxa" w:w="100"/>
              <w:bottom w:type="dxa" w:w="80"/>
              <w:right w:type="dxa" w:w="100"/>
            </w:tcMar>
          </w:tcPr>
          <w:p>
            <w:r>
              <w:rPr>
                <w:b/>
                <w:bCs/>
                <w:color w:val="FFFFFF"/>
                <w:sz w:val="20"/>
                <w:szCs w:val="20"/>
              </w:rPr>
              <w:t xml:space="preserve">Date</w:t>
            </w:r>
          </w:p>
        </w:tc>
      </w:tr>
      <w:tr>
        <w:tc>
          <w:tcPr>
            <w:tcW w:type="dxa" w:w="5850"/>
            <w:tcMar>
              <w:top w:type="dxa" w:w="80"/>
              <w:left w:type="dxa" w:w="100"/>
              <w:bottom w:type="dxa" w:w="80"/>
              <w:right w:type="dxa" w:w="100"/>
            </w:tcMar>
          </w:tcPr>
          <w:p>
            <w:r>
              <w:rPr>
                <w:b w:val="false"/>
                <w:bCs w:val="false"/>
                <w:color w:val="202020"/>
                <w:sz w:val="20"/>
                <w:szCs w:val="20"/>
              </w:rPr>
              <w:t xml:space="preserve">RFP Reissue Date</w:t>
            </w:r>
          </w:p>
        </w:tc>
        <w:tc>
          <w:tcPr>
            <w:tcW w:type="dxa" w:w="3500"/>
            <w:tcMar>
              <w:top w:type="dxa" w:w="80"/>
              <w:left w:type="dxa" w:w="100"/>
              <w:bottom w:type="dxa" w:w="80"/>
              <w:right w:type="dxa" w:w="100"/>
            </w:tcMar>
          </w:tcPr>
          <w:p>
            <w:r>
              <w:rPr>
                <w:b w:val="false"/>
                <w:bCs w:val="false"/>
                <w:color w:val="202020"/>
                <w:sz w:val="20"/>
                <w:szCs w:val="20"/>
              </w:rPr>
              <w:t xml:space="preserve">April 6, 2026</w:t>
            </w:r>
          </w:p>
        </w:tc>
      </w:tr>
      <w:tr>
        <w:tc>
          <w:tcPr>
            <w:tcW w:type="dxa" w:w="5850"/>
            <w:tcMar>
              <w:top w:type="dxa" w:w="80"/>
              <w:left w:type="dxa" w:w="100"/>
              <w:bottom w:type="dxa" w:w="80"/>
              <w:right w:type="dxa" w:w="100"/>
            </w:tcMar>
          </w:tcPr>
          <w:p>
            <w:r>
              <w:rPr>
                <w:b w:val="false"/>
                <w:bCs w:val="false"/>
                <w:color w:val="202020"/>
                <w:sz w:val="20"/>
                <w:szCs w:val="20"/>
              </w:rPr>
              <w:t xml:space="preserve">Vendor Q&amp;A Deadline</w:t>
            </w:r>
          </w:p>
        </w:tc>
        <w:tc>
          <w:tcPr>
            <w:tcW w:type="dxa" w:w="3500"/>
            <w:tcMar>
              <w:top w:type="dxa" w:w="80"/>
              <w:left w:type="dxa" w:w="100"/>
              <w:bottom w:type="dxa" w:w="80"/>
              <w:right w:type="dxa" w:w="100"/>
            </w:tcMar>
          </w:tcPr>
          <w:p>
            <w:r>
              <w:rPr>
                <w:b w:val="false"/>
                <w:bCs w:val="false"/>
                <w:color w:val="202020"/>
                <w:sz w:val="20"/>
                <w:szCs w:val="20"/>
              </w:rPr>
              <w:t xml:space="preserve">April 20, 2026</w:t>
            </w:r>
          </w:p>
        </w:tc>
      </w:tr>
      <w:tr>
        <w:tc>
          <w:tcPr>
            <w:tcW w:type="dxa" w:w="5850"/>
            <w:tcMar>
              <w:top w:type="dxa" w:w="80"/>
              <w:left w:type="dxa" w:w="100"/>
              <w:bottom w:type="dxa" w:w="80"/>
              <w:right w:type="dxa" w:w="100"/>
            </w:tcMar>
          </w:tcPr>
          <w:p>
            <w:r>
              <w:rPr>
                <w:b w:val="false"/>
                <w:bCs w:val="false"/>
                <w:color w:val="202020"/>
                <w:sz w:val="20"/>
                <w:szCs w:val="20"/>
              </w:rPr>
              <w:t xml:space="preserve">Proposal Submission Deadline</w:t>
            </w:r>
          </w:p>
        </w:tc>
        <w:tc>
          <w:tcPr>
            <w:tcW w:type="dxa" w:w="3500"/>
            <w:tcMar>
              <w:top w:type="dxa" w:w="80"/>
              <w:left w:type="dxa" w:w="100"/>
              <w:bottom w:type="dxa" w:w="80"/>
              <w:right w:type="dxa" w:w="100"/>
            </w:tcMar>
          </w:tcPr>
          <w:p>
            <w:r>
              <w:rPr>
                <w:b w:val="false"/>
                <w:bCs w:val="false"/>
                <w:color w:val="202020"/>
                <w:sz w:val="20"/>
                <w:szCs w:val="20"/>
              </w:rPr>
              <w:t xml:space="preserve">May 15, 2026</w:t>
            </w:r>
          </w:p>
        </w:tc>
      </w:tr>
      <w:tr>
        <w:tc>
          <w:tcPr>
            <w:tcW w:type="dxa" w:w="5850"/>
            <w:tcMar>
              <w:top w:type="dxa" w:w="80"/>
              <w:left w:type="dxa" w:w="100"/>
              <w:bottom w:type="dxa" w:w="80"/>
              <w:right w:type="dxa" w:w="100"/>
            </w:tcMar>
          </w:tcPr>
          <w:p>
            <w:r>
              <w:rPr>
                <w:b w:val="false"/>
                <w:bCs w:val="false"/>
                <w:color w:val="202020"/>
                <w:sz w:val="20"/>
                <w:szCs w:val="20"/>
              </w:rPr>
              <w:t xml:space="preserve">Shortlist Notification</w:t>
            </w:r>
          </w:p>
        </w:tc>
        <w:tc>
          <w:tcPr>
            <w:tcW w:type="dxa" w:w="3500"/>
            <w:tcMar>
              <w:top w:type="dxa" w:w="80"/>
              <w:left w:type="dxa" w:w="100"/>
              <w:bottom w:type="dxa" w:w="80"/>
              <w:right w:type="dxa" w:w="100"/>
            </w:tcMar>
          </w:tcPr>
          <w:p>
            <w:r>
              <w:rPr>
                <w:b w:val="false"/>
                <w:bCs w:val="false"/>
                <w:color w:val="202020"/>
                <w:sz w:val="20"/>
                <w:szCs w:val="20"/>
              </w:rPr>
              <w:t xml:space="preserve">May 29, 2026</w:t>
            </w:r>
          </w:p>
        </w:tc>
      </w:tr>
      <w:tr>
        <w:tc>
          <w:tcPr>
            <w:tcW w:type="dxa" w:w="5850"/>
            <w:tcMar>
              <w:top w:type="dxa" w:w="80"/>
              <w:left w:type="dxa" w:w="100"/>
              <w:bottom w:type="dxa" w:w="80"/>
              <w:right w:type="dxa" w:w="100"/>
            </w:tcMar>
          </w:tcPr>
          <w:p>
            <w:r>
              <w:rPr>
                <w:b w:val="false"/>
                <w:bCs w:val="false"/>
                <w:color w:val="202020"/>
                <w:sz w:val="20"/>
                <w:szCs w:val="20"/>
              </w:rPr>
              <w:t xml:space="preserve">Vendor Presentations &amp; Campus Tastings</w:t>
            </w:r>
          </w:p>
        </w:tc>
        <w:tc>
          <w:tcPr>
            <w:tcW w:type="dxa" w:w="3500"/>
            <w:tcMar>
              <w:top w:type="dxa" w:w="80"/>
              <w:left w:type="dxa" w:w="100"/>
              <w:bottom w:type="dxa" w:w="80"/>
              <w:right w:type="dxa" w:w="100"/>
            </w:tcMar>
          </w:tcPr>
          <w:p>
            <w:r>
              <w:rPr>
                <w:b w:val="false"/>
                <w:bCs w:val="false"/>
                <w:color w:val="202020"/>
                <w:sz w:val="20"/>
                <w:szCs w:val="20"/>
              </w:rPr>
              <w:t xml:space="preserve">June 8 – 12, 2026</w:t>
            </w:r>
          </w:p>
        </w:tc>
      </w:tr>
      <w:tr>
        <w:tc>
          <w:tcPr>
            <w:tcW w:type="dxa" w:w="5850"/>
            <w:tcMar>
              <w:top w:type="dxa" w:w="80"/>
              <w:left w:type="dxa" w:w="100"/>
              <w:bottom w:type="dxa" w:w="80"/>
              <w:right w:type="dxa" w:w="100"/>
            </w:tcMar>
          </w:tcPr>
          <w:p>
            <w:r>
              <w:rPr>
                <w:b w:val="false"/>
                <w:bCs w:val="false"/>
                <w:color w:val="202020"/>
                <w:sz w:val="20"/>
                <w:szCs w:val="20"/>
              </w:rPr>
              <w:t xml:space="preserve">Contract Award</w:t>
            </w:r>
          </w:p>
        </w:tc>
        <w:tc>
          <w:tcPr>
            <w:tcW w:type="dxa" w:w="3500"/>
            <w:tcMar>
              <w:top w:type="dxa" w:w="80"/>
              <w:left w:type="dxa" w:w="100"/>
              <w:bottom w:type="dxa" w:w="80"/>
              <w:right w:type="dxa" w:w="100"/>
            </w:tcMar>
          </w:tcPr>
          <w:p>
            <w:r>
              <w:rPr>
                <w:b w:val="false"/>
                <w:bCs w:val="false"/>
                <w:color w:val="202020"/>
                <w:sz w:val="20"/>
                <w:szCs w:val="20"/>
              </w:rPr>
              <w:t xml:space="preserve">June 26, 2026</w:t>
            </w:r>
          </w:p>
        </w:tc>
      </w:tr>
      <w:tr>
        <w:tc>
          <w:tcPr>
            <w:tcW w:type="dxa" w:w="5850"/>
            <w:tcMar>
              <w:top w:type="dxa" w:w="80"/>
              <w:left w:type="dxa" w:w="100"/>
              <w:bottom w:type="dxa" w:w="80"/>
              <w:right w:type="dxa" w:w="100"/>
            </w:tcMar>
          </w:tcPr>
          <w:p>
            <w:r>
              <w:rPr>
                <w:b w:val="false"/>
                <w:bCs w:val="false"/>
                <w:color w:val="202020"/>
                <w:sz w:val="20"/>
                <w:szCs w:val="20"/>
              </w:rPr>
              <w:t xml:space="preserve">Transition Period Begins</w:t>
            </w:r>
          </w:p>
        </w:tc>
        <w:tc>
          <w:tcPr>
            <w:tcW w:type="dxa" w:w="3500"/>
            <w:tcMar>
              <w:top w:type="dxa" w:w="80"/>
              <w:left w:type="dxa" w:w="100"/>
              <w:bottom w:type="dxa" w:w="80"/>
              <w:right w:type="dxa" w:w="100"/>
            </w:tcMar>
          </w:tcPr>
          <w:p>
            <w:r>
              <w:rPr>
                <w:b w:val="false"/>
                <w:bCs w:val="false"/>
                <w:color w:val="202020"/>
                <w:sz w:val="20"/>
                <w:szCs w:val="20"/>
              </w:rPr>
              <w:t xml:space="preserve">July 15, 2026</w:t>
            </w:r>
          </w:p>
        </w:tc>
      </w:tr>
      <w:tr>
        <w:tc>
          <w:tcPr>
            <w:tcW w:type="dxa" w:w="5850"/>
            <w:tcMar>
              <w:top w:type="dxa" w:w="80"/>
              <w:left w:type="dxa" w:w="100"/>
              <w:bottom w:type="dxa" w:w="80"/>
              <w:right w:type="dxa" w:w="100"/>
            </w:tcMar>
          </w:tcPr>
          <w:p>
            <w:r>
              <w:rPr>
                <w:b w:val="false"/>
                <w:bCs w:val="false"/>
                <w:color w:val="202020"/>
                <w:sz w:val="20"/>
                <w:szCs w:val="20"/>
              </w:rPr>
              <w:t xml:space="preserve">Fall Semester Opening</w:t>
            </w:r>
          </w:p>
        </w:tc>
        <w:tc>
          <w:tcPr>
            <w:tcW w:type="dxa" w:w="3500"/>
            <w:tcMar>
              <w:top w:type="dxa" w:w="80"/>
              <w:left w:type="dxa" w:w="100"/>
              <w:bottom w:type="dxa" w:w="80"/>
              <w:right w:type="dxa" w:w="100"/>
            </w:tcMar>
          </w:tcPr>
          <w:p>
            <w:r>
              <w:rPr>
                <w:b w:val="false"/>
                <w:bCs w:val="false"/>
                <w:color w:val="202020"/>
                <w:sz w:val="20"/>
                <w:szCs w:val="20"/>
              </w:rPr>
              <w:t xml:space="preserve">August 24, 2026</w:t>
            </w:r>
          </w:p>
        </w:tc>
      </w:tr>
      <w:tr>
        <w:tc>
          <w:tcPr>
            <w:tcW w:type="dxa" w:w="5850"/>
            <w:tcMar>
              <w:top w:type="dxa" w:w="80"/>
              <w:left w:type="dxa" w:w="100"/>
              <w:bottom w:type="dxa" w:w="80"/>
              <w:right w:type="dxa" w:w="100"/>
            </w:tcMar>
          </w:tcPr>
          <w:p>
            <w:r>
              <w:rPr>
                <w:b w:val="false"/>
                <w:bCs w:val="false"/>
                <w:color w:val="202020"/>
                <w:sz w:val="20"/>
                <w:szCs w:val="20"/>
              </w:rPr>
              <w:t xml:space="preserve">Catering Program Launch [NEW]</w:t>
            </w:r>
          </w:p>
        </w:tc>
        <w:tc>
          <w:tcPr>
            <w:tcW w:type="dxa" w:w="3500"/>
            <w:tcMar>
              <w:top w:type="dxa" w:w="80"/>
              <w:left w:type="dxa" w:w="100"/>
              <w:bottom w:type="dxa" w:w="80"/>
              <w:right w:type="dxa" w:w="100"/>
            </w:tcMar>
          </w:tcPr>
          <w:p>
            <w:r>
              <w:rPr>
                <w:b w:val="false"/>
                <w:bCs w:val="false"/>
                <w:color w:val="202020"/>
                <w:sz w:val="20"/>
                <w:szCs w:val="20"/>
              </w:rPr>
              <w:t xml:space="preserve">October 2026</w:t>
            </w:r>
          </w:p>
        </w:tc>
      </w:tr>
      <w:tr>
        <w:tc>
          <w:tcPr>
            <w:tcW w:type="dxa" w:w="5850"/>
            <w:tcMar>
              <w:top w:type="dxa" w:w="80"/>
              <w:left w:type="dxa" w:w="100"/>
              <w:bottom w:type="dxa" w:w="80"/>
              <w:right w:type="dxa" w:w="100"/>
            </w:tcMar>
          </w:tcPr>
          <w:p>
            <w:r>
              <w:rPr>
                <w:b w:val="false"/>
                <w:bCs w:val="false"/>
                <w:color w:val="202020"/>
                <w:sz w:val="20"/>
                <w:szCs w:val="20"/>
              </w:rPr>
              <w:t xml:space="preserve">Winthrop Commons Dining Hall Opening [NEW]</w:t>
            </w:r>
          </w:p>
        </w:tc>
        <w:tc>
          <w:tcPr>
            <w:tcW w:type="dxa" w:w="3500"/>
            <w:tcMar>
              <w:top w:type="dxa" w:w="80"/>
              <w:left w:type="dxa" w:w="100"/>
              <w:bottom w:type="dxa" w:w="80"/>
              <w:right w:type="dxa" w:w="100"/>
            </w:tcMar>
          </w:tcPr>
          <w:p>
            <w:r>
              <w:rPr>
                <w:b w:val="false"/>
                <w:bCs w:val="false"/>
                <w:color w:val="202020"/>
                <w:sz w:val="20"/>
                <w:szCs w:val="20"/>
              </w:rPr>
              <w:t xml:space="preserve">August 2027</w:t>
            </w:r>
          </w:p>
        </w:tc>
      </w:tr>
    </w:tbl>
    <w:p>
      <w:r>
        <w:br w:type="page"/>
      </w:r>
    </w:p>
    <w:p>
      <w:pPr>
        <w:pStyle w:val="Heading1"/>
        <w:pBdr>
          <w:bottom w:val="single" w:color="B0402B" w:sz="6" w:space="4"/>
        </w:pBdr>
        <w:spacing w:after="160" w:before="340"/>
      </w:pPr>
      <w:r>
        <w:rPr>
          <w:b/>
          <w:bCs/>
          <w:color w:val="5A1E1E"/>
          <w:sz w:val="26"/>
          <w:szCs w:val="26"/>
        </w:rPr>
        <w:t xml:space="preserve">8. Evaluation Criteria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850"/>
        <w:gridCol w:w="2500"/>
      </w:tblGrid>
      <w:tr>
        <w:trPr>
          <w:tblHeader/>
        </w:trPr>
        <w:tc>
          <w:tcPr>
            <w:tcW w:type="dxa" w:w="6850"/>
            <w:shd w:fill="5A1E1E" w:val="clear"/>
            <w:tcMar>
              <w:top w:type="dxa" w:w="80"/>
              <w:left w:type="dxa" w:w="100"/>
              <w:bottom w:type="dxa" w:w="80"/>
              <w:right w:type="dxa" w:w="100"/>
            </w:tcMar>
          </w:tcPr>
          <w:p>
            <w:r>
              <w:rPr>
                <w:b/>
                <w:bCs/>
                <w:color w:val="FFFFFF"/>
                <w:sz w:val="20"/>
                <w:szCs w:val="20"/>
              </w:rPr>
              <w:t xml:space="preserve">Criterion</w:t>
            </w:r>
          </w:p>
        </w:tc>
        <w:tc>
          <w:tcPr>
            <w:tcW w:type="dxa" w:w="2500"/>
            <w:shd w:fill="5A1E1E" w:val="clear"/>
            <w:tcMar>
              <w:top w:type="dxa" w:w="80"/>
              <w:left w:type="dxa" w:w="100"/>
              <w:bottom w:type="dxa" w:w="80"/>
              <w:right w:type="dxa" w:w="100"/>
            </w:tcMar>
          </w:tcPr>
          <w:p>
            <w:r>
              <w:rPr>
                <w:b/>
                <w:bCs/>
                <w:color w:val="FFFFFF"/>
                <w:sz w:val="20"/>
                <w:szCs w:val="20"/>
              </w:rPr>
              <w:t xml:space="preserve">Weight</w:t>
            </w:r>
          </w:p>
        </w:tc>
      </w:tr>
      <w:tr>
        <w:tc>
          <w:tcPr>
            <w:tcW w:type="dxa" w:w="6850"/>
            <w:tcMar>
              <w:top w:type="dxa" w:w="80"/>
              <w:left w:type="dxa" w:w="100"/>
              <w:bottom w:type="dxa" w:w="80"/>
              <w:right w:type="dxa" w:w="100"/>
            </w:tcMar>
          </w:tcPr>
          <w:p>
            <w:r>
              <w:rPr>
                <w:b w:val="false"/>
                <w:bCs w:val="false"/>
                <w:color w:val="202020"/>
                <w:sz w:val="20"/>
                <w:szCs w:val="20"/>
              </w:rPr>
              <w:t xml:space="preserve">Culinary Quality &amp; Menu Variety</w:t>
            </w:r>
          </w:p>
        </w:tc>
        <w:tc>
          <w:tcPr>
            <w:tcW w:type="dxa" w:w="2500"/>
            <w:tcMar>
              <w:top w:type="dxa" w:w="80"/>
              <w:left w:type="dxa" w:w="100"/>
              <w:bottom w:type="dxa" w:w="80"/>
              <w:right w:type="dxa" w:w="100"/>
            </w:tcMar>
          </w:tcPr>
          <w:p>
            <w:r>
              <w:rPr>
                <w:b w:val="false"/>
                <w:bCs w:val="false"/>
                <w:color w:val="202020"/>
                <w:sz w:val="20"/>
                <w:szCs w:val="20"/>
              </w:rPr>
              <w:t xml:space="preserve">20 points</w:t>
            </w:r>
          </w:p>
        </w:tc>
      </w:tr>
      <w:tr>
        <w:tc>
          <w:tcPr>
            <w:tcW w:type="dxa" w:w="6850"/>
            <w:tcMar>
              <w:top w:type="dxa" w:w="80"/>
              <w:left w:type="dxa" w:w="100"/>
              <w:bottom w:type="dxa" w:w="80"/>
              <w:right w:type="dxa" w:w="100"/>
            </w:tcMar>
          </w:tcPr>
          <w:p>
            <w:r>
              <w:rPr>
                <w:b w:val="false"/>
                <w:bCs w:val="false"/>
                <w:color w:val="202020"/>
                <w:sz w:val="20"/>
                <w:szCs w:val="20"/>
              </w:rPr>
              <w:t xml:space="preserve">Vendor Experience &amp; References</w:t>
            </w:r>
          </w:p>
        </w:tc>
        <w:tc>
          <w:tcPr>
            <w:tcW w:type="dxa" w:w="2500"/>
            <w:tcMar>
              <w:top w:type="dxa" w:w="80"/>
              <w:left w:type="dxa" w:w="100"/>
              <w:bottom w:type="dxa" w:w="80"/>
              <w:right w:type="dxa" w:w="100"/>
            </w:tcMar>
          </w:tcPr>
          <w:p>
            <w:r>
              <w:rPr>
                <w:b w:val="false"/>
                <w:bCs w:val="false"/>
                <w:color w:val="202020"/>
                <w:sz w:val="20"/>
                <w:szCs w:val="20"/>
              </w:rPr>
              <w:t xml:space="preserve">15 points</w:t>
            </w:r>
          </w:p>
        </w:tc>
      </w:tr>
      <w:tr>
        <w:tc>
          <w:tcPr>
            <w:tcW w:type="dxa" w:w="6850"/>
            <w:tcMar>
              <w:top w:type="dxa" w:w="80"/>
              <w:left w:type="dxa" w:w="100"/>
              <w:bottom w:type="dxa" w:w="80"/>
              <w:right w:type="dxa" w:w="100"/>
            </w:tcMar>
          </w:tcPr>
          <w:p>
            <w:r>
              <w:rPr>
                <w:b w:val="false"/>
                <w:bCs w:val="false"/>
                <w:color w:val="202020"/>
                <w:sz w:val="20"/>
                <w:szCs w:val="20"/>
              </w:rPr>
              <w:t xml:space="preserve">Nutrition &amp; Allergen Accommodation Program</w:t>
            </w:r>
          </w:p>
        </w:tc>
        <w:tc>
          <w:tcPr>
            <w:tcW w:type="dxa" w:w="2500"/>
            <w:tcMar>
              <w:top w:type="dxa" w:w="80"/>
              <w:left w:type="dxa" w:w="100"/>
              <w:bottom w:type="dxa" w:w="80"/>
              <w:right w:type="dxa" w:w="100"/>
            </w:tcMar>
          </w:tcPr>
          <w:p>
            <w:r>
              <w:rPr>
                <w:b w:val="false"/>
                <w:bCs w:val="false"/>
                <w:color w:val="202020"/>
                <w:sz w:val="20"/>
                <w:szCs w:val="20"/>
              </w:rPr>
              <w:t xml:space="preserve">15 points</w:t>
            </w:r>
          </w:p>
        </w:tc>
      </w:tr>
      <w:tr>
        <w:tc>
          <w:tcPr>
            <w:tcW w:type="dxa" w:w="6850"/>
            <w:tcMar>
              <w:top w:type="dxa" w:w="80"/>
              <w:left w:type="dxa" w:w="100"/>
              <w:bottom w:type="dxa" w:w="80"/>
              <w:right w:type="dxa" w:w="100"/>
            </w:tcMar>
          </w:tcPr>
          <w:p>
            <w:r>
              <w:rPr>
                <w:b w:val="false"/>
                <w:bCs w:val="false"/>
                <w:color w:val="202020"/>
                <w:sz w:val="20"/>
                <w:szCs w:val="20"/>
              </w:rPr>
              <w:t xml:space="preserve">Cost / Commission Structure</w:t>
            </w:r>
          </w:p>
        </w:tc>
        <w:tc>
          <w:tcPr>
            <w:tcW w:type="dxa" w:w="2500"/>
            <w:tcMar>
              <w:top w:type="dxa" w:w="80"/>
              <w:left w:type="dxa" w:w="100"/>
              <w:bottom w:type="dxa" w:w="80"/>
              <w:right w:type="dxa" w:w="100"/>
            </w:tcMar>
          </w:tcPr>
          <w:p>
            <w:r>
              <w:rPr>
                <w:b w:val="false"/>
                <w:bCs w:val="false"/>
                <w:color w:val="202020"/>
                <w:sz w:val="20"/>
                <w:szCs w:val="20"/>
              </w:rPr>
              <w:t xml:space="preserve">25 points</w:t>
            </w:r>
          </w:p>
        </w:tc>
      </w:tr>
      <w:tr>
        <w:tc>
          <w:tcPr>
            <w:tcW w:type="dxa" w:w="6850"/>
            <w:tcMar>
              <w:top w:type="dxa" w:w="80"/>
              <w:left w:type="dxa" w:w="100"/>
              <w:bottom w:type="dxa" w:w="80"/>
              <w:right w:type="dxa" w:w="100"/>
            </w:tcMar>
          </w:tcPr>
          <w:p>
            <w:r>
              <w:rPr>
                <w:b w:val="false"/>
                <w:bCs w:val="false"/>
                <w:color w:val="202020"/>
                <w:sz w:val="20"/>
                <w:szCs w:val="20"/>
              </w:rPr>
              <w:t xml:space="preserve">Sustainability &amp; Food Recovery Program</w:t>
            </w:r>
          </w:p>
        </w:tc>
        <w:tc>
          <w:tcPr>
            <w:tcW w:type="dxa" w:w="2500"/>
            <w:tcMar>
              <w:top w:type="dxa" w:w="80"/>
              <w:left w:type="dxa" w:w="100"/>
              <w:bottom w:type="dxa" w:w="80"/>
              <w:right w:type="dxa" w:w="100"/>
            </w:tcMar>
          </w:tcPr>
          <w:p>
            <w:r>
              <w:rPr>
                <w:b w:val="false"/>
                <w:bCs w:val="false"/>
                <w:color w:val="202020"/>
                <w:sz w:val="20"/>
                <w:szCs w:val="20"/>
              </w:rPr>
              <w:t xml:space="preserve">15 points</w:t>
            </w:r>
          </w:p>
        </w:tc>
      </w:tr>
      <w:tr>
        <w:tc>
          <w:tcPr>
            <w:tcW w:type="dxa" w:w="6850"/>
            <w:tcMar>
              <w:top w:type="dxa" w:w="80"/>
              <w:left w:type="dxa" w:w="100"/>
              <w:bottom w:type="dxa" w:w="80"/>
              <w:right w:type="dxa" w:w="100"/>
            </w:tcMar>
          </w:tcPr>
          <w:p>
            <w:r>
              <w:rPr>
                <w:b w:val="false"/>
                <w:bCs w:val="false"/>
                <w:color w:val="202020"/>
                <w:sz w:val="20"/>
                <w:szCs w:val="20"/>
              </w:rPr>
              <w:t xml:space="preserve">Catering Program Design [NEW]</w:t>
            </w:r>
          </w:p>
        </w:tc>
        <w:tc>
          <w:tcPr>
            <w:tcW w:type="dxa" w:w="2500"/>
            <w:tcMar>
              <w:top w:type="dxa" w:w="80"/>
              <w:left w:type="dxa" w:w="100"/>
              <w:bottom w:type="dxa" w:w="80"/>
              <w:right w:type="dxa" w:w="100"/>
            </w:tcMar>
          </w:tcPr>
          <w:p>
            <w:r>
              <w:rPr>
                <w:b w:val="false"/>
                <w:bCs w:val="false"/>
                <w:color w:val="202020"/>
                <w:sz w:val="20"/>
                <w:szCs w:val="20"/>
              </w:rPr>
              <w:t xml:space="preserve">10 points</w:t>
            </w:r>
          </w:p>
        </w:tc>
      </w:tr>
    </w:tbl>
    <w:p>
      <w:pPr>
        <w:pStyle w:val="Heading1"/>
        <w:pBdr>
          <w:bottom w:val="single" w:color="B0402B" w:sz="6" w:space="4"/>
        </w:pBdr>
        <w:spacing w:after="160" w:before="340"/>
      </w:pPr>
      <w:r>
        <w:rPr>
          <w:b/>
          <w:bCs/>
          <w:color w:val="5A1E1E"/>
          <w:sz w:val="26"/>
          <w:szCs w:val="26"/>
        </w:rPr>
        <w:t xml:space="preserve">9. Insurance Requirements</w:t>
      </w:r>
    </w:p>
    <w:p>
      <w:pPr>
        <w:pStyle w:val="ListParagraph"/>
        <w:numPr>
          <w:ilvl w:val="0"/>
          <w:numId w:val="2"/>
        </w:numPr>
        <w:spacing w:after="80" w:line="264"/>
      </w:pPr>
      <w:r>
        <w:rPr>
          <w:sz w:val="21"/>
          <w:szCs w:val="21"/>
        </w:rPr>
        <w:t xml:space="preserve">Commercial General Liability: $8,000,000 per occurrence. [MODIFIED]</w:t>
      </w:r>
    </w:p>
    <w:p>
      <w:pPr>
        <w:pStyle w:val="ListParagraph"/>
        <w:numPr>
          <w:ilvl w:val="0"/>
          <w:numId w:val="2"/>
        </w:numPr>
        <w:spacing w:after="80" w:line="264"/>
      </w:pPr>
      <w:r>
        <w:rPr>
          <w:sz w:val="21"/>
          <w:szCs w:val="21"/>
        </w:rPr>
        <w:t xml:space="preserve">Professional Liability: $3,000,000 per claim. [MODIFIED]</w:t>
      </w:r>
    </w:p>
    <w:p>
      <w:pPr>
        <w:pStyle w:val="ListParagraph"/>
        <w:numPr>
          <w:ilvl w:val="0"/>
          <w:numId w:val="2"/>
        </w:numPr>
        <w:spacing w:after="80" w:line="264"/>
      </w:pPr>
      <w:r>
        <w:rPr>
          <w:sz w:val="21"/>
          <w:szCs w:val="21"/>
        </w:rPr>
        <w:t xml:space="preserve">Workers' Compensation: as required by state law.</w:t>
      </w:r>
    </w:p>
    <w:p>
      <w:pPr>
        <w:pStyle w:val="ListParagraph"/>
        <w:numPr>
          <w:ilvl w:val="0"/>
          <w:numId w:val="2"/>
        </w:numPr>
        <w:spacing w:after="80" w:line="264"/>
      </w:pPr>
      <w:r>
        <w:rPr>
          <w:sz w:val="21"/>
          <w:szCs w:val="21"/>
        </w:rPr>
        <w:t xml:space="preserve">Liquor Liability: $2,000,000 per occurrence, required for catering events serving alcohol. [NEW]</w:t>
      </w:r>
    </w:p>
    <w:p>
      <w:pPr>
        <w:pStyle w:val="ListParagraph"/>
        <w:numPr>
          <w:ilvl w:val="0"/>
          <w:numId w:val="2"/>
        </w:numPr>
        <w:spacing w:after="80" w:line="264"/>
      </w:pPr>
      <w:r>
        <w:rPr>
          <w:sz w:val="21"/>
          <w:szCs w:val="21"/>
        </w:rPr>
        <w:t xml:space="preserve">The University and its trustees, officers, and employees must be named as additional insureds.</w:t>
      </w:r>
    </w:p>
    <w:p>
      <w:pPr>
        <w:pStyle w:val="Heading1"/>
        <w:pBdr>
          <w:bottom w:val="single" w:color="B0402B" w:sz="6" w:space="4"/>
        </w:pBdr>
        <w:spacing w:after="160" w:before="340"/>
      </w:pPr>
      <w:r>
        <w:rPr>
          <w:b/>
          <w:bCs/>
          <w:color w:val="5A1E1E"/>
          <w:sz w:val="26"/>
          <w:szCs w:val="26"/>
        </w:rPr>
        <w:t xml:space="preserve">10. Commercial Terms</w:t>
      </w:r>
    </w:p>
    <w:p>
      <w:pPr>
        <w:spacing w:after="140" w:line="276"/>
      </w:pPr>
      <w:r>
        <w:rPr>
          <w:b/>
          <w:bCs/>
          <w:i w:val="false"/>
          <w:iCs w:val="false"/>
          <w:color w:val="202020"/>
          <w:sz w:val="21"/>
          <w:szCs w:val="21"/>
        </w:rPr>
        <w:t xml:space="preserve">Contract Structure: Revenue-share / commission model, with the University receiving a percentage of gross dining and catering revenue.</w:t>
      </w:r>
    </w:p>
    <w:p>
      <w:pPr>
        <w:spacing w:after="140" w:line="276"/>
      </w:pPr>
      <w:r>
        <w:rPr>
          <w:b/>
          <w:bCs/>
          <w:i w:val="false"/>
          <w:iCs w:val="false"/>
          <w:color w:val="202020"/>
          <w:sz w:val="21"/>
          <w:szCs w:val="21"/>
        </w:rPr>
        <w:t xml:space="preserve">Contract Term: 7 years, with one (1) optional 3-year renewal. [MODIFIED]</w:t>
      </w:r>
    </w:p>
    <w:p>
      <w:pPr>
        <w:pStyle w:val="ListParagraph"/>
        <w:numPr>
          <w:ilvl w:val="0"/>
          <w:numId w:val="2"/>
        </w:numPr>
        <w:spacing w:after="80" w:line="264"/>
      </w:pPr>
      <w:r>
        <w:rPr>
          <w:sz w:val="21"/>
          <w:szCs w:val="21"/>
        </w:rPr>
        <w:t xml:space="preserve">Minimum guaranteed annual commission to the University: $650,000. [MODIFIED]</w:t>
      </w:r>
    </w:p>
    <w:p>
      <w:pPr>
        <w:pStyle w:val="ListParagraph"/>
        <w:numPr>
          <w:ilvl w:val="0"/>
          <w:numId w:val="2"/>
        </w:numPr>
        <w:spacing w:after="80" w:line="264"/>
      </w:pPr>
      <w:r>
        <w:rPr>
          <w:sz w:val="21"/>
          <w:szCs w:val="21"/>
        </w:rPr>
        <w:t xml:space="preserve">Vendor responsible for all kitchen equipment maintenance and replacement during the contract term, including new equipment for the Winthrop Commons dining hall. [MODIFIED]</w:t>
      </w:r>
    </w:p>
    <w:p>
      <w:pPr>
        <w:pStyle w:val="ListParagraph"/>
        <w:numPr>
          <w:ilvl w:val="0"/>
          <w:numId w:val="2"/>
        </w:numPr>
        <w:spacing w:after="80" w:line="264"/>
      </w:pPr>
      <w:r>
        <w:rPr>
          <w:sz w:val="21"/>
          <w:szCs w:val="21"/>
        </w:rPr>
        <w:t xml:space="preserve">Payment terms: commission remitted to the University monthly, by the 10th of the following month. [MODIFIED]</w:t>
      </w:r>
    </w:p>
    <w:p>
      <w:pPr>
        <w:pStyle w:val="ListParagraph"/>
        <w:numPr>
          <w:ilvl w:val="0"/>
          <w:numId w:val="2"/>
        </w:numPr>
        <w:spacing w:after="80" w:line="264"/>
      </w:pPr>
      <w:r>
        <w:rPr>
          <w:sz w:val="21"/>
          <w:szCs w:val="21"/>
        </w:rPr>
        <w:t xml:space="preserve">Liquidated damages: $5,000 per day for failure to open the Winthrop Commons dining hall by the contractual opening date. [NEW]</w:t>
      </w:r>
    </w:p>
    <w:p>
      <w:pPr>
        <w:pStyle w:val="Heading1"/>
        <w:pBdr>
          <w:bottom w:val="single" w:color="B0402B" w:sz="6" w:space="4"/>
        </w:pBdr>
        <w:spacing w:after="160" w:before="340"/>
      </w:pPr>
      <w:r>
        <w:rPr>
          <w:b/>
          <w:bCs/>
          <w:color w:val="5A1E1E"/>
          <w:sz w:val="26"/>
          <w:szCs w:val="26"/>
        </w:rPr>
        <w:t xml:space="preserve">11. Submission Instructions</w:t>
      </w:r>
    </w:p>
    <w:p>
      <w:pPr>
        <w:spacing w:after="140" w:line="276"/>
      </w:pPr>
      <w:r>
        <w:rPr>
          <w:b w:val="false"/>
          <w:bCs w:val="false"/>
          <w:i w:val="false"/>
          <w:iCs w:val="false"/>
          <w:color w:val="202020"/>
          <w:sz w:val="21"/>
          <w:szCs w:val="21"/>
        </w:rPr>
        <w:t xml:space="preserve">Proposals must be submitted electronically in PDF format to procurement@northfield.edu no later than the deadline listed above. Proposals must remain valid for 150 days from the submission deadline.</w:t>
      </w:r>
    </w:p>
    <w:p>
      <w:pPr>
        <w:pStyle w:val="Heading1"/>
        <w:pBdr>
          <w:bottom w:val="single" w:color="B0402B" w:sz="6" w:space="4"/>
        </w:pBdr>
        <w:spacing w:after="160" w:before="340"/>
      </w:pPr>
      <w:r>
        <w:rPr>
          <w:b/>
          <w:bCs/>
          <w:color w:val="5A1E1E"/>
          <w:sz w:val="26"/>
          <w:szCs w:val="26"/>
        </w:rPr>
        <w:t xml:space="preserve">12. Terms &amp; Conditions</w:t>
      </w:r>
    </w:p>
    <w:p>
      <w:pPr>
        <w:pStyle w:val="Heading2"/>
        <w:spacing w:after="100" w:before="220"/>
      </w:pPr>
      <w:r>
        <w:rPr>
          <w:b/>
          <w:bCs/>
          <w:color w:val="B0402B"/>
          <w:sz w:val="22"/>
          <w:szCs w:val="22"/>
        </w:rPr>
        <w:t xml:space="preserve">12.1 Governing Law</w:t>
      </w:r>
    </w:p>
    <w:p>
      <w:pPr>
        <w:spacing w:after="140" w:line="276"/>
      </w:pPr>
      <w:r>
        <w:rPr>
          <w:b w:val="false"/>
          <w:bCs w:val="false"/>
          <w:i w:val="false"/>
          <w:iCs w:val="false"/>
          <w:color w:val="202020"/>
          <w:sz w:val="21"/>
          <w:szCs w:val="21"/>
        </w:rPr>
        <w:t xml:space="preserve">This RFP and any resulting contract shall be governed by the laws of the Commonwealth of Massachusetts.</w:t>
      </w:r>
    </w:p>
    <w:p>
      <w:pPr>
        <w:pStyle w:val="Heading2"/>
        <w:spacing w:after="100" w:before="220"/>
      </w:pPr>
      <w:r>
        <w:rPr>
          <w:b/>
          <w:bCs/>
          <w:color w:val="B0402B"/>
          <w:sz w:val="22"/>
          <w:szCs w:val="22"/>
        </w:rPr>
        <w:t xml:space="preserve">12.2 Reservation of Rights</w:t>
      </w:r>
    </w:p>
    <w:p>
      <w:pPr>
        <w:spacing w:after="140" w:line="276"/>
      </w:pPr>
      <w:r>
        <w:rPr>
          <w:b w:val="false"/>
          <w:bCs w:val="false"/>
          <w:i w:val="false"/>
          <w:iCs w:val="false"/>
          <w:color w:val="202020"/>
          <w:sz w:val="21"/>
          <w:szCs w:val="21"/>
        </w:rPr>
        <w:t xml:space="preserve">The University reserves the right to reject any or all proposals, waive minor irregularities, and negotiate final contract terms with the selected vendor.</w:t>
      </w:r>
    </w:p>
    <w:p>
      <w:pPr>
        <w:pStyle w:val="Heading1"/>
        <w:pBdr>
          <w:bottom w:val="single" w:color="B0402B" w:sz="6" w:space="4"/>
        </w:pBdr>
        <w:spacing w:after="160" w:before="340"/>
      </w:pPr>
      <w:r>
        <w:rPr>
          <w:b/>
          <w:bCs/>
          <w:color w:val="5A1E1E"/>
          <w:sz w:val="26"/>
          <w:szCs w:val="26"/>
        </w:rPr>
        <w:t xml:space="preserve">13. Contact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F3E1DC" w:val="clear"/>
            <w:tcMar>
              <w:top w:type="dxa" w:w="80"/>
              <w:left w:type="dxa" w:w="100"/>
              <w:bottom w:type="dxa" w:w="80"/>
              <w:right w:type="dxa" w:w="100"/>
            </w:tcMar>
          </w:tcPr>
          <w:p>
            <w:r>
              <w:rPr>
                <w:b/>
                <w:bCs/>
                <w:color w:val="5A1E1E"/>
                <w:sz w:val="20"/>
                <w:szCs w:val="20"/>
              </w:rPr>
              <w:t xml:space="preserve">Issuing Officer</w:t>
            </w:r>
          </w:p>
        </w:tc>
        <w:tc>
          <w:tcPr>
            <w:tcW w:type="dxa" w:w="6150"/>
            <w:tcMar>
              <w:top w:type="dxa" w:w="80"/>
              <w:left w:type="dxa" w:w="100"/>
              <w:bottom w:type="dxa" w:w="80"/>
              <w:right w:type="dxa" w:w="100"/>
            </w:tcMar>
          </w:tcPr>
          <w:p>
            <w:r>
              <w:rPr>
                <w:b w:val="false"/>
                <w:bCs w:val="false"/>
                <w:color w:val="202020"/>
                <w:sz w:val="20"/>
                <w:szCs w:val="20"/>
              </w:rPr>
              <w:t xml:space="preserve">Marcus Ellery</w:t>
            </w:r>
          </w:p>
        </w:tc>
      </w:tr>
      <w:tr>
        <w:tc>
          <w:tcPr>
            <w:tcW w:type="dxa" w:w="3200"/>
            <w:shd w:fill="F3E1DC" w:val="clear"/>
            <w:tcMar>
              <w:top w:type="dxa" w:w="80"/>
              <w:left w:type="dxa" w:w="100"/>
              <w:bottom w:type="dxa" w:w="80"/>
              <w:right w:type="dxa" w:w="100"/>
            </w:tcMar>
          </w:tcPr>
          <w:p>
            <w:r>
              <w:rPr>
                <w:b/>
                <w:bCs/>
                <w:color w:val="5A1E1E"/>
                <w:sz w:val="20"/>
                <w:szCs w:val="20"/>
              </w:rPr>
              <w:t xml:space="preserve">Title</w:t>
            </w:r>
          </w:p>
        </w:tc>
        <w:tc>
          <w:tcPr>
            <w:tcW w:type="dxa" w:w="6150"/>
            <w:tcMar>
              <w:top w:type="dxa" w:w="80"/>
              <w:left w:type="dxa" w:w="100"/>
              <w:bottom w:type="dxa" w:w="80"/>
              <w:right w:type="dxa" w:w="100"/>
            </w:tcMar>
          </w:tcPr>
          <w:p>
            <w:r>
              <w:rPr>
                <w:b w:val="false"/>
                <w:bCs w:val="false"/>
                <w:color w:val="202020"/>
                <w:sz w:val="20"/>
                <w:szCs w:val="20"/>
              </w:rPr>
              <w:t xml:space="preserve">Senior Director of Auxiliary Services</w:t>
            </w:r>
          </w:p>
        </w:tc>
      </w:tr>
      <w:tr>
        <w:tc>
          <w:tcPr>
            <w:tcW w:type="dxa" w:w="3200"/>
            <w:shd w:fill="F3E1DC" w:val="clear"/>
            <w:tcMar>
              <w:top w:type="dxa" w:w="80"/>
              <w:left w:type="dxa" w:w="100"/>
              <w:bottom w:type="dxa" w:w="80"/>
              <w:right w:type="dxa" w:w="100"/>
            </w:tcMar>
          </w:tcPr>
          <w:p>
            <w:r>
              <w:rPr>
                <w:b/>
                <w:bCs/>
                <w:color w:val="5A1E1E"/>
                <w:sz w:val="20"/>
                <w:szCs w:val="20"/>
              </w:rPr>
              <w:t xml:space="preserve">Email</w:t>
            </w:r>
          </w:p>
        </w:tc>
        <w:tc>
          <w:tcPr>
            <w:tcW w:type="dxa" w:w="6150"/>
            <w:tcMar>
              <w:top w:type="dxa" w:w="80"/>
              <w:left w:type="dxa" w:w="100"/>
              <w:bottom w:type="dxa" w:w="80"/>
              <w:right w:type="dxa" w:w="100"/>
            </w:tcMar>
          </w:tcPr>
          <w:p>
            <w:r>
              <w:rPr>
                <w:b w:val="false"/>
                <w:bCs w:val="false"/>
                <w:color w:val="202020"/>
                <w:sz w:val="20"/>
                <w:szCs w:val="20"/>
              </w:rPr>
              <w:t xml:space="preserve">mellery@northfield.edu</w:t>
            </w:r>
          </w:p>
        </w:tc>
      </w:tr>
      <w:tr>
        <w:tc>
          <w:tcPr>
            <w:tcW w:type="dxa" w:w="3200"/>
            <w:shd w:fill="F3E1DC" w:val="clear"/>
            <w:tcMar>
              <w:top w:type="dxa" w:w="80"/>
              <w:left w:type="dxa" w:w="100"/>
              <w:bottom w:type="dxa" w:w="80"/>
              <w:right w:type="dxa" w:w="100"/>
            </w:tcMar>
          </w:tcPr>
          <w:p>
            <w:r>
              <w:rPr>
                <w:b/>
                <w:bCs/>
                <w:color w:val="5A1E1E"/>
                <w:sz w:val="20"/>
                <w:szCs w:val="20"/>
              </w:rPr>
              <w:t xml:space="preserve">Phone</w:t>
            </w:r>
          </w:p>
        </w:tc>
        <w:tc>
          <w:tcPr>
            <w:tcW w:type="dxa" w:w="6150"/>
            <w:tcMar>
              <w:top w:type="dxa" w:w="80"/>
              <w:left w:type="dxa" w:w="100"/>
              <w:bottom w:type="dxa" w:w="80"/>
              <w:right w:type="dxa" w:w="100"/>
            </w:tcMar>
          </w:tcPr>
          <w:p>
            <w:r>
              <w:rPr>
                <w:b w:val="false"/>
                <w:bCs w:val="false"/>
                <w:color w:val="202020"/>
                <w:sz w:val="20"/>
                <w:szCs w:val="20"/>
              </w:rPr>
              <w:t xml:space="preserve">(413) 555-0198</w:t>
            </w:r>
          </w:p>
        </w:tc>
      </w:tr>
    </w:tbl>
    <w:p>
      <w:r>
        <w:br w:type="page"/>
      </w:r>
    </w:p>
    <w:p>
      <w:pPr>
        <w:pStyle w:val="Heading1"/>
        <w:pBdr>
          <w:bottom w:val="single" w:color="B0402B" w:sz="6" w:space="4"/>
        </w:pBdr>
        <w:spacing w:after="160" w:before="340"/>
      </w:pPr>
      <w:r>
        <w:rPr>
          <w:b/>
          <w:bCs/>
          <w:color w:val="5A1E1E"/>
          <w:sz w:val="26"/>
          <w:szCs w:val="26"/>
        </w:rPr>
        <w:t xml:space="preserve">Appendix A: Pricing / Commission 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550"/>
      </w:tblGrid>
      <w:tr>
        <w:trPr>
          <w:tblHeader/>
        </w:trPr>
        <w:tc>
          <w:tcPr>
            <w:tcW w:type="dxa" w:w="1200"/>
            <w:shd w:fill="5A1E1E" w:val="clear"/>
            <w:tcMar>
              <w:top w:type="dxa" w:w="80"/>
              <w:left w:type="dxa" w:w="100"/>
              <w:bottom w:type="dxa" w:w="80"/>
              <w:right w:type="dxa" w:w="100"/>
            </w:tcMar>
          </w:tcPr>
          <w:p>
            <w:r>
              <w:rPr>
                <w:b/>
                <w:bCs/>
                <w:color w:val="FFFFFF"/>
                <w:sz w:val="20"/>
                <w:szCs w:val="20"/>
              </w:rPr>
              <w:t xml:space="preserve">Line Item</w:t>
            </w:r>
          </w:p>
        </w:tc>
        <w:tc>
          <w:tcPr>
            <w:tcW w:type="dxa" w:w="5600"/>
            <w:shd w:fill="5A1E1E" w:val="clear"/>
            <w:tcMar>
              <w:top w:type="dxa" w:w="80"/>
              <w:left w:type="dxa" w:w="100"/>
              <w:bottom w:type="dxa" w:w="80"/>
              <w:right w:type="dxa" w:w="100"/>
            </w:tcMar>
          </w:tcPr>
          <w:p>
            <w:r>
              <w:rPr>
                <w:b/>
                <w:bCs/>
                <w:color w:val="FFFFFF"/>
                <w:sz w:val="20"/>
                <w:szCs w:val="20"/>
              </w:rPr>
              <w:t xml:space="preserve">Description</w:t>
            </w:r>
          </w:p>
        </w:tc>
        <w:tc>
          <w:tcPr>
            <w:tcW w:type="dxa" w:w="2550"/>
            <w:shd w:fill="5A1E1E" w:val="clear"/>
            <w:tcMar>
              <w:top w:type="dxa" w:w="80"/>
              <w:left w:type="dxa" w:w="100"/>
              <w:bottom w:type="dxa" w:w="80"/>
              <w:right w:type="dxa" w:w="100"/>
            </w:tcMar>
          </w:tcPr>
          <w:p>
            <w:r>
              <w:rPr>
                <w:b/>
                <w:bCs/>
                <w:color w:val="FFFFFF"/>
                <w:sz w:val="20"/>
                <w:szCs w:val="20"/>
              </w:rPr>
              <w:t xml:space="preserve">Response</w:t>
            </w:r>
          </w:p>
        </w:tc>
      </w:tr>
      <w:tr>
        <w:tc>
          <w:tcPr>
            <w:tcW w:type="dxa" w:w="1200"/>
            <w:tcMar>
              <w:top w:type="dxa" w:w="80"/>
              <w:left w:type="dxa" w:w="100"/>
              <w:bottom w:type="dxa" w:w="80"/>
              <w:right w:type="dxa" w:w="100"/>
            </w:tcMar>
          </w:tcPr>
          <w:p>
            <w:r>
              <w:rPr>
                <w:b w:val="false"/>
                <w:bCs w:val="false"/>
                <w:color w:val="202020"/>
                <w:sz w:val="20"/>
                <w:szCs w:val="20"/>
              </w:rPr>
              <w:t xml:space="preserve">A-1</w:t>
            </w:r>
          </w:p>
        </w:tc>
        <w:tc>
          <w:tcPr>
            <w:tcW w:type="dxa" w:w="5600"/>
            <w:tcMar>
              <w:top w:type="dxa" w:w="80"/>
              <w:left w:type="dxa" w:w="100"/>
              <w:bottom w:type="dxa" w:w="80"/>
              <w:right w:type="dxa" w:w="100"/>
            </w:tcMar>
          </w:tcPr>
          <w:p>
            <w:r>
              <w:rPr>
                <w:b w:val="false"/>
                <w:bCs w:val="false"/>
                <w:color w:val="202020"/>
                <w:sz w:val="20"/>
                <w:szCs w:val="20"/>
              </w:rPr>
              <w:t xml:space="preserve">Proposed commission rate (% of gross dining and catering revenue)</w:t>
            </w:r>
          </w:p>
        </w:tc>
        <w:tc>
          <w:tcPr>
            <w:tcW w:type="dxa" w:w="2550"/>
            <w:tcMar>
              <w:top w:type="dxa" w:w="80"/>
              <w:left w:type="dxa" w:w="100"/>
              <w:bottom w:type="dxa" w:w="80"/>
              <w:right w:type="dxa" w:w="100"/>
            </w:tcMar>
          </w:tcPr>
          <w:p>
            <w:r>
              <w:rPr>
                <w:b w:val="false"/>
                <w:bCs w:val="false"/>
                <w:color w:val="202020"/>
                <w:sz w:val="20"/>
                <w:szCs w:val="20"/>
              </w:rPr>
              <w:t xml:space="preserve">______%</w:t>
            </w:r>
          </w:p>
        </w:tc>
      </w:tr>
      <w:tr>
        <w:tc>
          <w:tcPr>
            <w:tcW w:type="dxa" w:w="1200"/>
            <w:tcMar>
              <w:top w:type="dxa" w:w="80"/>
              <w:left w:type="dxa" w:w="100"/>
              <w:bottom w:type="dxa" w:w="80"/>
              <w:right w:type="dxa" w:w="100"/>
            </w:tcMar>
          </w:tcPr>
          <w:p>
            <w:r>
              <w:rPr>
                <w:b w:val="false"/>
                <w:bCs w:val="false"/>
                <w:color w:val="202020"/>
                <w:sz w:val="20"/>
                <w:szCs w:val="20"/>
              </w:rPr>
              <w:t xml:space="preserve">A-2</w:t>
            </w:r>
          </w:p>
        </w:tc>
        <w:tc>
          <w:tcPr>
            <w:tcW w:type="dxa" w:w="5600"/>
            <w:tcMar>
              <w:top w:type="dxa" w:w="80"/>
              <w:left w:type="dxa" w:w="100"/>
              <w:bottom w:type="dxa" w:w="80"/>
              <w:right w:type="dxa" w:w="100"/>
            </w:tcMar>
          </w:tcPr>
          <w:p>
            <w:r>
              <w:rPr>
                <w:b w:val="false"/>
                <w:bCs w:val="false"/>
                <w:color w:val="202020"/>
                <w:sz w:val="20"/>
                <w:szCs w:val="20"/>
              </w:rPr>
              <w:t xml:space="preserve">Minimum guaranteed annual commission offered</w:t>
            </w:r>
          </w:p>
        </w:tc>
        <w:tc>
          <w:tcPr>
            <w:tcW w:type="dxa" w:w="2550"/>
            <w:tcMar>
              <w:top w:type="dxa" w:w="80"/>
              <w:left w:type="dxa" w:w="100"/>
              <w:bottom w:type="dxa" w:w="80"/>
              <w:right w:type="dxa" w:w="100"/>
            </w:tcMar>
          </w:tcPr>
          <w:p>
            <w:r>
              <w:rPr>
                <w:b w:val="false"/>
                <w:bCs w:val="false"/>
                <w:color w:val="202020"/>
                <w:sz w:val="20"/>
                <w:szCs w:val="20"/>
              </w:rPr>
              <w:t xml:space="preserve">$______</w:t>
            </w:r>
          </w:p>
        </w:tc>
      </w:tr>
      <w:tr>
        <w:tc>
          <w:tcPr>
            <w:tcW w:type="dxa" w:w="1200"/>
            <w:tcMar>
              <w:top w:type="dxa" w:w="80"/>
              <w:left w:type="dxa" w:w="100"/>
              <w:bottom w:type="dxa" w:w="80"/>
              <w:right w:type="dxa" w:w="100"/>
            </w:tcMar>
          </w:tcPr>
          <w:p>
            <w:r>
              <w:rPr>
                <w:b w:val="false"/>
                <w:bCs w:val="false"/>
                <w:color w:val="202020"/>
                <w:sz w:val="20"/>
                <w:szCs w:val="20"/>
              </w:rPr>
              <w:t xml:space="preserve">A-3</w:t>
            </w:r>
          </w:p>
        </w:tc>
        <w:tc>
          <w:tcPr>
            <w:tcW w:type="dxa" w:w="5600"/>
            <w:tcMar>
              <w:top w:type="dxa" w:w="80"/>
              <w:left w:type="dxa" w:w="100"/>
              <w:bottom w:type="dxa" w:w="80"/>
              <w:right w:type="dxa" w:w="100"/>
            </w:tcMar>
          </w:tcPr>
          <w:p>
            <w:r>
              <w:rPr>
                <w:b w:val="false"/>
                <w:bCs w:val="false"/>
                <w:color w:val="202020"/>
                <w:sz w:val="20"/>
                <w:szCs w:val="20"/>
              </w:rPr>
              <w:t xml:space="preserve">Average board plan price (per semester)</w:t>
            </w:r>
          </w:p>
        </w:tc>
        <w:tc>
          <w:tcPr>
            <w:tcW w:type="dxa" w:w="2550"/>
            <w:tcMar>
              <w:top w:type="dxa" w:w="80"/>
              <w:left w:type="dxa" w:w="100"/>
              <w:bottom w:type="dxa" w:w="80"/>
              <w:right w:type="dxa" w:w="100"/>
            </w:tcMar>
          </w:tcPr>
          <w:p>
            <w:r>
              <w:rPr>
                <w:b w:val="false"/>
                <w:bCs w:val="false"/>
                <w:color w:val="202020"/>
                <w:sz w:val="20"/>
                <w:szCs w:val="20"/>
              </w:rPr>
              <w:t xml:space="preserve">$______</w:t>
            </w:r>
          </w:p>
        </w:tc>
      </w:tr>
      <w:tr>
        <w:tc>
          <w:tcPr>
            <w:tcW w:type="dxa" w:w="1200"/>
            <w:tcMar>
              <w:top w:type="dxa" w:w="80"/>
              <w:left w:type="dxa" w:w="100"/>
              <w:bottom w:type="dxa" w:w="80"/>
              <w:right w:type="dxa" w:w="100"/>
            </w:tcMar>
          </w:tcPr>
          <w:p>
            <w:r>
              <w:rPr>
                <w:b w:val="false"/>
                <w:bCs w:val="false"/>
                <w:color w:val="202020"/>
                <w:sz w:val="20"/>
                <w:szCs w:val="20"/>
              </w:rPr>
              <w:t xml:space="preserve">A-4</w:t>
            </w:r>
          </w:p>
        </w:tc>
        <w:tc>
          <w:tcPr>
            <w:tcW w:type="dxa" w:w="5600"/>
            <w:tcMar>
              <w:top w:type="dxa" w:w="80"/>
              <w:left w:type="dxa" w:w="100"/>
              <w:bottom w:type="dxa" w:w="80"/>
              <w:right w:type="dxa" w:w="100"/>
            </w:tcMar>
          </w:tcPr>
          <w:p>
            <w:r>
              <w:rPr>
                <w:b w:val="false"/>
                <w:bCs w:val="false"/>
                <w:color w:val="202020"/>
                <w:sz w:val="20"/>
                <w:szCs w:val="20"/>
              </w:rPr>
              <w:t xml:space="preserve">One-time kitchen equipment upgrade investment</w:t>
            </w:r>
          </w:p>
        </w:tc>
        <w:tc>
          <w:tcPr>
            <w:tcW w:type="dxa" w:w="2550"/>
            <w:tcMar>
              <w:top w:type="dxa" w:w="80"/>
              <w:left w:type="dxa" w:w="100"/>
              <w:bottom w:type="dxa" w:w="80"/>
              <w:right w:type="dxa" w:w="100"/>
            </w:tcMar>
          </w:tcPr>
          <w:p>
            <w:r>
              <w:rPr>
                <w:b w:val="false"/>
                <w:bCs w:val="false"/>
                <w:color w:val="202020"/>
                <w:sz w:val="20"/>
                <w:szCs w:val="20"/>
              </w:rPr>
              <w:t xml:space="preserve">$______</w:t>
            </w:r>
          </w:p>
        </w:tc>
      </w:tr>
      <w:tr>
        <w:tc>
          <w:tcPr>
            <w:tcW w:type="dxa" w:w="1200"/>
            <w:tcMar>
              <w:top w:type="dxa" w:w="80"/>
              <w:left w:type="dxa" w:w="100"/>
              <w:bottom w:type="dxa" w:w="80"/>
              <w:right w:type="dxa" w:w="100"/>
            </w:tcMar>
          </w:tcPr>
          <w:p>
            <w:r>
              <w:rPr>
                <w:b w:val="false"/>
                <w:bCs w:val="false"/>
                <w:color w:val="202020"/>
                <w:sz w:val="20"/>
                <w:szCs w:val="20"/>
              </w:rPr>
              <w:t xml:space="preserve">A-5</w:t>
            </w:r>
          </w:p>
        </w:tc>
        <w:tc>
          <w:tcPr>
            <w:tcW w:type="dxa" w:w="5600"/>
            <w:tcMar>
              <w:top w:type="dxa" w:w="80"/>
              <w:left w:type="dxa" w:w="100"/>
              <w:bottom w:type="dxa" w:w="80"/>
              <w:right w:type="dxa" w:w="100"/>
            </w:tcMar>
          </w:tcPr>
          <w:p>
            <w:r>
              <w:rPr>
                <w:b w:val="false"/>
                <w:bCs w:val="false"/>
                <w:color w:val="202020"/>
                <w:sz w:val="20"/>
                <w:szCs w:val="20"/>
              </w:rPr>
              <w:t xml:space="preserve">Winthrop Commons dining hall build-out investment [NEW]</w:t>
            </w:r>
          </w:p>
        </w:tc>
        <w:tc>
          <w:tcPr>
            <w:tcW w:type="dxa" w:w="2550"/>
            <w:tcMar>
              <w:top w:type="dxa" w:w="80"/>
              <w:left w:type="dxa" w:w="100"/>
              <w:bottom w:type="dxa" w:w="80"/>
              <w:right w:type="dxa" w:w="100"/>
            </w:tcMar>
          </w:tcPr>
          <w:p>
            <w:r>
              <w:rPr>
                <w:b w:val="false"/>
                <w:bCs w:val="false"/>
                <w:color w:val="202020"/>
                <w:sz w:val="20"/>
                <w:szCs w:val="20"/>
              </w:rPr>
              <w:t xml:space="preserve">$______</w:t>
            </w:r>
          </w:p>
        </w:tc>
      </w:tr>
    </w:tbl>
    <w:p>
      <w:pPr>
        <w:pStyle w:val="Heading1"/>
        <w:pBdr>
          <w:bottom w:val="single" w:color="B0402B" w:sz="6" w:space="4"/>
        </w:pBdr>
        <w:spacing w:after="160" w:before="340"/>
      </w:pPr>
      <w:r>
        <w:rPr>
          <w:b/>
          <w:bCs/>
          <w:color w:val="5A1E1E"/>
          <w:sz w:val="26"/>
          <w:szCs w:val="26"/>
        </w:rPr>
        <w:t xml:space="preserve">Appendix B: Reference 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5A1E1E" w:val="clear"/>
            <w:tcMar>
              <w:top w:type="dxa" w:w="80"/>
              <w:left w:type="dxa" w:w="100"/>
              <w:bottom w:type="dxa" w:w="80"/>
              <w:right w:type="dxa" w:w="100"/>
            </w:tcMar>
          </w:tcPr>
          <w:p>
            <w:r>
              <w:rPr>
                <w:b/>
                <w:bCs/>
                <w:color w:val="FFFFFF"/>
                <w:sz w:val="20"/>
                <w:szCs w:val="20"/>
              </w:rPr>
              <w:t xml:space="preserve">Field</w:t>
            </w:r>
          </w:p>
        </w:tc>
        <w:tc>
          <w:tcPr>
            <w:tcW w:type="dxa" w:w="6350"/>
            <w:shd w:fill="5A1E1E" w:val="clear"/>
            <w:tcMar>
              <w:top w:type="dxa" w:w="80"/>
              <w:left w:type="dxa" w:w="100"/>
              <w:bottom w:type="dxa" w:w="80"/>
              <w:right w:type="dxa" w:w="100"/>
            </w:tcMar>
          </w:tcPr>
          <w:p>
            <w:r>
              <w:rPr>
                <w:b/>
                <w:bCs/>
                <w:color w:val="FFFFFF"/>
                <w:sz w:val="20"/>
                <w:szCs w:val="20"/>
              </w:rPr>
              <w:t xml:space="preserve">Response</w:t>
            </w:r>
          </w:p>
        </w:tc>
      </w:tr>
      <w:tr>
        <w:tc>
          <w:tcPr>
            <w:tcW w:type="dxa" w:w="3000"/>
            <w:tcMar>
              <w:top w:type="dxa" w:w="80"/>
              <w:left w:type="dxa" w:w="100"/>
              <w:bottom w:type="dxa" w:w="80"/>
              <w:right w:type="dxa" w:w="100"/>
            </w:tcMar>
          </w:tcPr>
          <w:p>
            <w:r>
              <w:rPr>
                <w:b w:val="false"/>
                <w:bCs w:val="false"/>
                <w:color w:val="202020"/>
                <w:sz w:val="20"/>
                <w:szCs w:val="20"/>
              </w:rPr>
              <w:t xml:space="preserve">Client Institution</w:t>
            </w:r>
          </w:p>
        </w:tc>
        <w:tc>
          <w:tcPr>
            <w:tcW w:type="dxa" w:w="6350"/>
            <w:tcMar>
              <w:top w:type="dxa" w:w="80"/>
              <w:left w:type="dxa" w:w="100"/>
              <w:bottom w:type="dxa" w:w="80"/>
              <w:right w:type="dxa" w:w="100"/>
            </w:tcMar>
          </w:tcPr>
          <w:p>
            <w:r>
              <w:rPr>
                <w:b w:val="false"/>
                <w:bCs w:val="false"/>
                <w:color w:val="202020"/>
                <w:sz w:val="20"/>
                <w:szCs w:val="20"/>
              </w:rPr>
              <w:t xml:space="preserve"/>
            </w:r>
          </w:p>
        </w:tc>
      </w:tr>
      <w:tr>
        <w:tc>
          <w:tcPr>
            <w:tcW w:type="dxa" w:w="3000"/>
            <w:tcMar>
              <w:top w:type="dxa" w:w="80"/>
              <w:left w:type="dxa" w:w="100"/>
              <w:bottom w:type="dxa" w:w="80"/>
              <w:right w:type="dxa" w:w="100"/>
            </w:tcMar>
          </w:tcPr>
          <w:p>
            <w:r>
              <w:rPr>
                <w:b w:val="false"/>
                <w:bCs w:val="false"/>
                <w:color w:val="202020"/>
                <w:sz w:val="20"/>
                <w:szCs w:val="20"/>
              </w:rPr>
              <w:t xml:space="preserve">Contact Name &amp; Title</w:t>
            </w:r>
          </w:p>
        </w:tc>
        <w:tc>
          <w:tcPr>
            <w:tcW w:type="dxa" w:w="6350"/>
            <w:tcMar>
              <w:top w:type="dxa" w:w="80"/>
              <w:left w:type="dxa" w:w="100"/>
              <w:bottom w:type="dxa" w:w="80"/>
              <w:right w:type="dxa" w:w="100"/>
            </w:tcMar>
          </w:tcPr>
          <w:p>
            <w:r>
              <w:rPr>
                <w:b w:val="false"/>
                <w:bCs w:val="false"/>
                <w:color w:val="202020"/>
                <w:sz w:val="20"/>
                <w:szCs w:val="20"/>
              </w:rPr>
              <w:t xml:space="preserve"/>
            </w:r>
          </w:p>
        </w:tc>
      </w:tr>
      <w:tr>
        <w:tc>
          <w:tcPr>
            <w:tcW w:type="dxa" w:w="3000"/>
            <w:tcMar>
              <w:top w:type="dxa" w:w="80"/>
              <w:left w:type="dxa" w:w="100"/>
              <w:bottom w:type="dxa" w:w="80"/>
              <w:right w:type="dxa" w:w="100"/>
            </w:tcMar>
          </w:tcPr>
          <w:p>
            <w:r>
              <w:rPr>
                <w:b w:val="false"/>
                <w:bCs w:val="false"/>
                <w:color w:val="202020"/>
                <w:sz w:val="20"/>
                <w:szCs w:val="20"/>
              </w:rPr>
              <w:t xml:space="preserve">Phone / Email</w:t>
            </w:r>
          </w:p>
        </w:tc>
        <w:tc>
          <w:tcPr>
            <w:tcW w:type="dxa" w:w="6350"/>
            <w:tcMar>
              <w:top w:type="dxa" w:w="80"/>
              <w:left w:type="dxa" w:w="100"/>
              <w:bottom w:type="dxa" w:w="80"/>
              <w:right w:type="dxa" w:w="100"/>
            </w:tcMar>
          </w:tcPr>
          <w:p>
            <w:r>
              <w:rPr>
                <w:b w:val="false"/>
                <w:bCs w:val="false"/>
                <w:color w:val="202020"/>
                <w:sz w:val="20"/>
                <w:szCs w:val="20"/>
              </w:rPr>
              <w:t xml:space="preserve"/>
            </w:r>
          </w:p>
        </w:tc>
      </w:tr>
      <w:tr>
        <w:tc>
          <w:tcPr>
            <w:tcW w:type="dxa" w:w="3000"/>
            <w:tcMar>
              <w:top w:type="dxa" w:w="80"/>
              <w:left w:type="dxa" w:w="100"/>
              <w:bottom w:type="dxa" w:w="80"/>
              <w:right w:type="dxa" w:w="100"/>
            </w:tcMar>
          </w:tcPr>
          <w:p>
            <w:r>
              <w:rPr>
                <w:b w:val="false"/>
                <w:bCs w:val="false"/>
                <w:color w:val="202020"/>
                <w:sz w:val="20"/>
                <w:szCs w:val="20"/>
              </w:rPr>
              <w:t xml:space="preserve">Enrollment Served</w:t>
            </w:r>
          </w:p>
        </w:tc>
        <w:tc>
          <w:tcPr>
            <w:tcW w:type="dxa" w:w="6350"/>
            <w:tcMar>
              <w:top w:type="dxa" w:w="80"/>
              <w:left w:type="dxa" w:w="100"/>
              <w:bottom w:type="dxa" w:w="80"/>
              <w:right w:type="dxa" w:w="100"/>
            </w:tcMar>
          </w:tcPr>
          <w:p>
            <w:r>
              <w:rPr>
                <w:b w:val="false"/>
                <w:bCs w:val="false"/>
                <w:color w:val="202020"/>
                <w:sz w:val="20"/>
                <w:szCs w:val="20"/>
              </w:rPr>
              <w:t xml:space="preserve"/>
            </w:r>
          </w:p>
        </w:tc>
      </w:tr>
      <w:tr>
        <w:tc>
          <w:tcPr>
            <w:tcW w:type="dxa" w:w="3000"/>
            <w:tcMar>
              <w:top w:type="dxa" w:w="80"/>
              <w:left w:type="dxa" w:w="100"/>
              <w:bottom w:type="dxa" w:w="80"/>
              <w:right w:type="dxa" w:w="100"/>
            </w:tcMar>
          </w:tcPr>
          <w:p>
            <w:r>
              <w:rPr>
                <w:b w:val="false"/>
                <w:bCs w:val="false"/>
                <w:color w:val="202020"/>
                <w:sz w:val="20"/>
                <w:szCs w:val="20"/>
              </w:rPr>
              <w:t xml:space="preserve">Included Catering Program? (Y/N)</w:t>
            </w:r>
          </w:p>
        </w:tc>
        <w:tc>
          <w:tcPr>
            <w:tcW w:type="dxa" w:w="6350"/>
            <w:tcMar>
              <w:top w:type="dxa" w:w="80"/>
              <w:left w:type="dxa" w:w="100"/>
              <w:bottom w:type="dxa" w:w="80"/>
              <w:right w:type="dxa" w:w="100"/>
            </w:tcMar>
          </w:tcPr>
          <w:p>
            <w:r>
              <w:rPr>
                <w:b w:val="false"/>
                <w:bCs w:val="false"/>
                <w:color w:val="202020"/>
                <w:sz w:val="20"/>
                <w:szCs w:val="20"/>
              </w:rPr>
              <w:t xml:space="preserve"/>
            </w:r>
          </w:p>
        </w:tc>
      </w:tr>
      <w:tr>
        <w:tc>
          <w:tcPr>
            <w:tcW w:type="dxa" w:w="3000"/>
            <w:tcMar>
              <w:top w:type="dxa" w:w="80"/>
              <w:left w:type="dxa" w:w="100"/>
              <w:bottom w:type="dxa" w:w="80"/>
              <w:right w:type="dxa" w:w="100"/>
            </w:tcMar>
          </w:tcPr>
          <w:p>
            <w:r>
              <w:rPr>
                <w:b w:val="false"/>
                <w:bCs w:val="false"/>
                <w:color w:val="202020"/>
                <w:sz w:val="20"/>
                <w:szCs w:val="20"/>
              </w:rPr>
              <w:t xml:space="preserve">Contract Value</w:t>
            </w:r>
          </w:p>
        </w:tc>
        <w:tc>
          <w:tcPr>
            <w:tcW w:type="dxa" w:w="6350"/>
            <w:tcMar>
              <w:top w:type="dxa" w:w="80"/>
              <w:left w:type="dxa" w:w="100"/>
              <w:bottom w:type="dxa" w:w="80"/>
              <w:right w:type="dxa" w:w="100"/>
            </w:tcMar>
          </w:tcPr>
          <w:p>
            <w:r>
              <w:rPr>
                <w:b w:val="false"/>
                <w:bCs w:val="false"/>
                <w:color w:val="202020"/>
                <w:sz w:val="20"/>
                <w:szCs w:val="20"/>
              </w:rPr>
              <w:t xml:space="preserve"/>
            </w:r>
          </w:p>
        </w:tc>
      </w:tr>
      <w:tr>
        <w:tc>
          <w:tcPr>
            <w:tcW w:type="dxa" w:w="3000"/>
            <w:tcMar>
              <w:top w:type="dxa" w:w="80"/>
              <w:left w:type="dxa" w:w="100"/>
              <w:bottom w:type="dxa" w:w="80"/>
              <w:right w:type="dxa" w:w="100"/>
            </w:tcMar>
          </w:tcPr>
          <w:p>
            <w:r>
              <w:rPr>
                <w:b w:val="false"/>
                <w:bCs w:val="false"/>
                <w:color w:val="202020"/>
                <w:sz w:val="20"/>
                <w:szCs w:val="20"/>
              </w:rPr>
              <w:t xml:space="preserve">Completion Date</w:t>
            </w:r>
          </w:p>
        </w:tc>
        <w:tc>
          <w:tcPr>
            <w:tcW w:type="dxa" w:w="6350"/>
            <w:tcMar>
              <w:top w:type="dxa" w:w="80"/>
              <w:left w:type="dxa" w:w="100"/>
              <w:bottom w:type="dxa" w:w="80"/>
              <w:right w:type="dxa" w:w="100"/>
            </w:tcMar>
          </w:tcPr>
          <w:p>
            <w:r>
              <w:rPr>
                <w:b w:val="false"/>
                <w:bCs w:val="false"/>
                <w:color w:val="202020"/>
                <w:sz w:val="20"/>
                <w:szCs w:val="20"/>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2026-09-02T07:16:04.294Z</dcterms:created>
  <dcterms:modified xsi:type="dcterms:W3CDTF">2026-09-02T07:16:04.294Z</dcterms:modified>
</cp:coreProperties>
</file>

<file path=docProps/custom.xml><?xml version="1.0" encoding="utf-8"?>
<Properties xmlns="http://schemas.openxmlformats.org/officeDocument/2006/custom-properties" xmlns:vt="http://schemas.openxmlformats.org/officeDocument/2006/docPropsVTypes"/>
</file>