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Function: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2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rPr>
          <w:b/>
          <w:bCs/>
        </w:rPr>
        <w:t xml:space="preserve">Initial Point:</w:t>
      </w:r>
      <w:r>
        <w:br/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bookmarkStart w:id="12" w:name="gradient-descent"/>
    <w:p>
      <w:pPr>
        <w:pStyle w:val="Heading2"/>
      </w:pPr>
      <w:r>
        <w:t xml:space="preserve">1. Gradient Descent</w:t>
      </w:r>
    </w:p>
    <w:bookmarkStart w:id="9" w:name="gradient"/>
    <w:p>
      <w:pPr>
        <w:pStyle w:val="Heading3"/>
      </w:pPr>
      <w:r>
        <w:t xml:space="preserve">Gradient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4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9"/>
    <w:bookmarkStart w:id="10" w:name="gradient-at-mathbfx0"/>
    <w:p>
      <w:pPr>
        <w:pStyle w:val="Heading3"/>
      </w:pPr>
      <w:r>
        <w:t xml:space="preserve">Gradient at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(</m:t>
            </m:r>
            <m:r>
              <m:t>0</m:t>
            </m:r>
            <m:r>
              <m:rPr>
                <m:sty m:val="p"/>
              </m:rPr>
              <m:t>)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</m:oMath>
      </m:oMathPara>
    </w:p>
    <w:bookmarkEnd w:id="10"/>
    <w:bookmarkStart w:id="11" w:name="direction-of-steepest-descent"/>
    <w:p>
      <w:pPr>
        <w:pStyle w:val="Heading3"/>
      </w:pPr>
      <w:r>
        <w:t xml:space="preserve">Direction of Steepest Descent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d</m:t>
              </m:r>
            </m:e>
            <m:sub>
              <m:r>
                <m:rPr>
                  <m:nor/>
                  <m:sty m:val="p"/>
                </m:rPr>
                <m:t>GD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newtons-method"/>
    <w:p>
      <w:pPr>
        <w:pStyle w:val="Heading2"/>
      </w:pPr>
      <w:r>
        <w:t xml:space="preserve">2. Newton’s Method</w:t>
      </w:r>
    </w:p>
    <w:bookmarkStart w:id="13" w:name="hessian-matrix"/>
    <w:p>
      <w:pPr>
        <w:pStyle w:val="Heading3"/>
      </w:pPr>
      <w:r>
        <w:t xml:space="preserve">Hessian Matrix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>
                                <m:sty m:val="p"/>
                              </m:rPr>
                              <m:t>∂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bookmarkEnd w:id="13"/>
    <w:bookmarkStart w:id="14" w:name="inverse-of-the-hessian"/>
    <w:p>
      <w:pPr>
        <w:pStyle w:val="Heading3"/>
      </w:pPr>
      <w:r>
        <w:t xml:space="preserve">Inverse of the Hessian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bookmarkEnd w:id="14"/>
    <w:bookmarkStart w:id="15" w:name="newton-direction"/>
    <w:p>
      <w:pPr>
        <w:pStyle w:val="Heading3"/>
      </w:pPr>
      <w:r>
        <w:t xml:space="preserve">Newton Direction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d</m:t>
              </m:r>
            </m:e>
            <m:sub>
              <m:r>
                <m:rPr>
                  <m:nor/>
                  <m:sty m:val="p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]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∇</m:t>
          </m:r>
          <m:r>
            <m:t>f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5"/>
    <w:bookmarkEnd w:id="16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2025-10-09T08:50:52Z</dcterms:created>
  <dcterms:modified xsi:type="dcterms:W3CDTF">2025-10-09T08:50:52Z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