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drawback of Newton’s method:</w:t>
      </w:r>
      <w:r>
        <w:br/>
      </w:r>
      <w:r>
        <w:t xml:space="preserve">Computing and inverting the exact Hessian matrix is computationally expensive.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Secant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t> </m:t>
          </m:r>
          <m:r>
            <m:rPr>
              <m:nor/>
              <m:sty m:val="p"/>
            </m:rPr>
            <m:t>where</m:t>
          </m:r>
          <m:r>
            <m:t> </m:t>
          </m:r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r>
            <m:t> 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Use of the secant equation:</w:t>
      </w:r>
      <w:r>
        <w:br/>
      </w:r>
      <w:r>
        <w:t xml:space="preserve">The secant equation imposes a condition that the updated Hessian approximation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(or its inverse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) must satisfy, allowing the approximation to be constructed solely from gradient differences and step vectors without explicit second derivatives.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2025-10-09T08:54:08Z</dcterms:created>
  <dcterms:modified xsi:type="dcterms:W3CDTF">2025-10-09T08:54:08Z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