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</w:p>
    <w:p>
      <w:r>
        <w:pict>
          <v:rect style="width:0;height:1.5pt" o:hralign="center" o:hrstd="t" o:hr="t"/>
        </w:pict>
      </w:r>
    </w:p>
    <w:bookmarkStart w:id="9" w:name="table-of-p-and-q"/>
    <w:p>
      <w:pPr>
        <w:pStyle w:val="Heading2"/>
      </w:pPr>
      <w:r>
        <w:t xml:space="preserve">Table of P AND Q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</w:t>
            </w:r>
          </w:p>
        </w:tc>
        <w:tc>
          <w:tcPr/>
          <w:p>
            <w:pPr>
              <w:pStyle w:val="Compact"/>
            </w:pPr>
            <w:r>
              <w:t xml:space="preserve">Q</w:t>
            </w:r>
          </w:p>
        </w:tc>
        <w:tc>
          <w:tcPr/>
          <w:p>
            <w:pPr>
              <w:pStyle w:val="Compact"/>
            </w:pPr>
            <w:r>
              <w:t xml:space="preserve">P ∧ Q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9"/>
    <w:bookmarkStart w:id="10" w:name="table-of-p-or-q"/>
    <w:p>
      <w:pPr>
        <w:pStyle w:val="Heading2"/>
      </w:pPr>
      <w:r>
        <w:t xml:space="preserve">Table of P OR Q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</w:t>
            </w:r>
          </w:p>
        </w:tc>
        <w:tc>
          <w:tcPr/>
          <w:p>
            <w:pPr>
              <w:pStyle w:val="Compact"/>
            </w:pPr>
            <w:r>
              <w:t xml:space="preserve">Q</w:t>
            </w:r>
          </w:p>
        </w:tc>
        <w:tc>
          <w:tcPr/>
          <w:p>
            <w:pPr>
              <w:pStyle w:val="Compact"/>
            </w:pPr>
            <w:r>
              <w:t xml:space="preserve">P V Q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"/>
    <w:bookmarkStart w:id="11" w:name="table-of-p-implies-q"/>
    <w:p>
      <w:pPr>
        <w:pStyle w:val="Heading2"/>
      </w:pPr>
      <w:r>
        <w:t xml:space="preserve">Table of P Implies Q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</w:t>
            </w:r>
          </w:p>
        </w:tc>
        <w:tc>
          <w:tcPr/>
          <w:p>
            <w:pPr>
              <w:pStyle w:val="Compact"/>
            </w:pPr>
            <w:r>
              <w:t xml:space="preserve">Q</w:t>
            </w:r>
          </w:p>
        </w:tc>
        <w:tc>
          <w:tcPr/>
          <w:p>
            <w:pPr>
              <w:pStyle w:val="Compact"/>
            </w:pPr>
            <w:r>
              <w:t xml:space="preserve">P → Q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1"/>
    <w:sectPr w:rsidR="00AE2BBE" w:rsidRPr="000F04DE">
      <w:footnotePr>
        <w:numRestart w:val="eachSect"/>
      </w:footnotePr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CDF01EB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171529588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2BBE"/>
    <w:rsid w:val="000F04DE"/>
    <w:rsid w:val="001B2F0B"/>
    <w:rsid w:val="00233ED7"/>
    <w:rsid w:val="0067653A"/>
    <w:rsid w:val="008E3E2B"/>
    <w:rsid w:val="00AE2BBE"/>
    <w:rsid w:val="00CB0761"/>
    <w:rsid w:val="00D83DFF"/>
    <w:rsid w:val="00EF0A74"/>
  </w:rsids>
  <w:themeFontLang w:bidi="hi-I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B0761"/>
    <w:rPr>
      <w:rFonts w:ascii="Arial" w:hAnsi="Arial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1B2F0B"/>
    <w:pPr>
      <w:keepNext/>
      <w:keepLines/>
      <w:spacing w:after="80" w:before="360"/>
      <w:outlineLvl w:val="0"/>
    </w:pPr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autoRedefine/>
    <w:qFormat/>
    <w:rsid w:val="001B2F0B"/>
    <w:pPr>
      <w:spacing w:after="180" w:before="180"/>
    </w:pPr>
    <w:rPr>
      <w:rFonts w:cs="Arial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1"/>
    <w:next w:val="BodyText"/>
    <w:link w:val="TitleChar"/>
    <w:autoRedefine/>
    <w:uiPriority w:val="10"/>
    <w:qFormat/>
    <w:rsid w:val="001B2F0B"/>
    <w:pPr>
      <w:contextualSpacing/>
      <w:jc w:val="center"/>
    </w:pPr>
    <w:rPr>
      <w:i/>
      <w:sz w:val="72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1B2F0B"/>
    <w:rPr>
      <w:rFonts w:ascii="Arial Rounded MT Bold" w:cstheme="majorBidi" w:eastAsiaTheme="majorEastAsia" w:hAnsi="Arial Rounded MT Bold"/>
      <w:i/>
      <w:color w:themeColor="accent1" w:themeShade="BF" w:val="0F4761"/>
      <w:sz w:val="72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rPr>
      <w:sz w:val="24"/>
      <w:szCs w:val="24"/>
    </w:rPr>
  </w:style>
  <w:style w:styleId="Date" w:type="paragraph">
    <w:name w:val="Date"/>
    <w:basedOn w:val="Title"/>
    <w:next w:val="BodyText"/>
    <w:qFormat/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1B2F0B"/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creator/>
  <cp:keywords/>
  <dcterms:created xsi:type="dcterms:W3CDTF">2025-10-17T18:38:55Z</dcterms:created>
  <dcterms:modified xsi:type="dcterms:W3CDTF">2025-10-17T18:38:55Z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