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left="0" w:right="0" w:hanging="0"/>
        <w:jc w:val="center"/>
        <w:rPr/>
      </w:pPr>
      <w:r>
        <w:rPr>
          <w:rFonts w:eastAsia="Times New Roman" w:cs="Times New Roman" w:ascii="Times New Roman" w:hAnsi="Times New Roman"/>
          <w:b/>
          <w:sz w:val="29"/>
        </w:rPr>
        <w:t>Auditing the Evidence Behind Research-Gap Discovery: Corpus Quality, Retrieval, and Structured Extraction in Graph Neural Network Literature</w:t>
      </w:r>
    </w:p>
    <w:p>
      <w:pPr>
        <w:pStyle w:val="Normal"/>
        <w:bidi w:val="0"/>
        <w:spacing w:lineRule="exact" w:line="150" w:before="0" w:after="0"/>
        <w:ind w:left="0" w:right="0" w:hanging="0"/>
        <w:jc w:val="center"/>
        <w:rPr/>
      </w:pPr>
      <w:r>
        <w:rPr/>
      </w:r>
    </w:p>
    <w:p>
      <w:pPr>
        <w:pStyle w:val="Normal"/>
        <w:bidi w:val="0"/>
        <w:ind w:left="0" w:right="0" w:hanging="0"/>
        <w:jc w:val="center"/>
        <w:rPr/>
      </w:pPr>
      <w:r>
        <w:rPr>
          <w:rFonts w:eastAsia="Times New Roman" w:cs="Times New Roman" w:ascii="Times New Roman" w:hAnsi="Times New Roman"/>
          <w:sz w:val="24"/>
        </w:rPr>
        <w:t>Author 1: Pratheeksha; MCA; St. Aloysius Institute of Management and Information Technology; Mangalore, Karnataka, India; pratheeksha2606@gmail.com;</w:t>
      </w:r>
    </w:p>
    <w:p>
      <w:pPr>
        <w:pStyle w:val="Normal"/>
        <w:bidi w:val="0"/>
        <w:spacing w:lineRule="exact" w:line="150" w:before="0" w:after="0"/>
        <w:ind w:left="0" w:right="0" w:hanging="0"/>
        <w:jc w:val="center"/>
        <w:rPr/>
      </w:pPr>
      <w:r>
        <w:rPr/>
      </w:r>
    </w:p>
    <w:p>
      <w:pPr>
        <w:pStyle w:val="Normal"/>
        <w:bidi w:val="0"/>
        <w:ind w:left="0" w:right="0" w:hanging="0"/>
        <w:jc w:val="center"/>
        <w:rPr/>
      </w:pPr>
      <w:r>
        <w:rPr>
          <w:rFonts w:eastAsia="Times New Roman" w:cs="Times New Roman" w:ascii="Times New Roman" w:hAnsi="Times New Roman"/>
          <w:sz w:val="24"/>
        </w:rPr>
        <w:t>Author 2: Merel Riha D souza; MCA; St. Aloysius Institute of Management and Information Technology; Mangalore, Karnataka, India; merelriha@gmail.com;</w:t>
      </w:r>
    </w:p>
    <w:p>
      <w:pPr>
        <w:pStyle w:val="Normal"/>
        <w:bidi w:val="0"/>
        <w:spacing w:lineRule="exact" w:line="150" w:before="0" w:after="0"/>
        <w:ind w:left="0" w:right="0" w:hanging="0"/>
        <w:jc w:val="center"/>
        <w:rPr/>
      </w:pPr>
      <w:r>
        <w:rPr/>
      </w:r>
    </w:p>
    <w:p>
      <w:pPr>
        <w:pStyle w:val="Normal"/>
        <w:bidi w:val="0"/>
        <w:ind w:left="0" w:right="0" w:hanging="0"/>
        <w:jc w:val="center"/>
        <w:rPr/>
      </w:pPr>
      <w:r>
        <w:rPr>
          <w:rFonts w:eastAsia="Times New Roman" w:cs="Times New Roman" w:ascii="Times New Roman" w:hAnsi="Times New Roman"/>
          <w:sz w:val="24"/>
        </w:rPr>
        <w:t>Author 3: Dr Jeevan L J Pinto; HOD, Department of MCA; St Aloysius Deemed to be University; Mangalore, Karnataka, India; jeevanpinto@staloysisus.ac.in;</w:t>
      </w:r>
    </w:p>
    <w:p>
      <w:pPr>
        <w:pStyle w:val="Normal"/>
        <w:bidi w:val="0"/>
        <w:spacing w:lineRule="exact" w:line="150" w:before="0" w:after="0"/>
        <w:ind w:left="0" w:right="0" w:hanging="0"/>
        <w:jc w:val="center"/>
        <w:rPr/>
      </w:pPr>
      <w:r>
        <w:rPr/>
      </w:r>
    </w:p>
    <w:p>
      <w:pPr>
        <w:pStyle w:val="Normal"/>
        <w:bidi w:val="0"/>
        <w:ind w:left="0" w:right="0" w:hanging="0"/>
        <w:jc w:val="center"/>
        <w:rPr/>
      </w:pPr>
      <w:r>
        <w:rPr>
          <w:rFonts w:eastAsia="Times New Roman" w:cs="Times New Roman" w:ascii="Times New Roman" w:hAnsi="Times New Roman"/>
          <w:sz w:val="24"/>
        </w:rPr>
        <w:t>Author 4: Dr Rakesh Kumar ; HOD, Department of Msc; St Aloysius Deemed to be University; Mangalore, Karnataka, India ; rakesh@staloysius.ac.in;</w:t>
      </w:r>
    </w:p>
    <w:p>
      <w:pPr>
        <w:pStyle w:val="Normal"/>
        <w:bidi w:val="0"/>
        <w:ind w:left="0" w:right="0" w:hanging="0"/>
        <w:jc w:val="center"/>
        <w:rPr>
          <w:rFonts w:ascii="Times New Roman" w:hAnsi="Times New Roman" w:eastAsia="Times New Roman" w:cs="Times New Roman"/>
          <w:sz w:val="24"/>
        </w:rPr>
      </w:pPr>
      <w:r>
        <w:rPr>
          <w:rFonts w:eastAsia="Times New Roman" w:cs="Times New Roman" w:ascii="Times New Roman" w:hAnsi="Times New Roman"/>
          <w:sz w:val="24"/>
        </w:rPr>
      </w:r>
    </w:p>
    <w:p>
      <w:pPr>
        <w:pStyle w:val="Normal"/>
        <w:bidi w:val="0"/>
        <w:jc w:val="left"/>
        <w:rPr/>
      </w:pPr>
      <w:r>
        <w:rPr>
          <w:b/>
          <w:bCs/>
        </w:rPr>
        <w:t>Abstract</w:t>
      </w:r>
    </w:p>
    <w:p>
      <w:pPr>
        <w:pStyle w:val="Normal"/>
        <w:bidi w:val="0"/>
        <w:jc w:val="left"/>
        <w:rPr/>
      </w:pPr>
      <w:r>
        <w:rPr/>
        <w:t>Automated research-gap discovery is usually judged by how its output reads, yet it depends on an</w:t>
      </w:r>
    </w:p>
    <w:p>
      <w:pPr>
        <w:pStyle w:val="Normal"/>
        <w:bidi w:val="0"/>
        <w:jc w:val="left"/>
        <w:rPr/>
      </w:pPr>
      <w:r>
        <w:rPr/>
        <w:t xml:space="preserve"> </w:t>
      </w:r>
      <w:r>
        <w:rPr/>
        <w:t>on-topic corpus, retrievable prior work and traceable extraction. This study audits such a pipeline for graph neural network literature using OpenAlex, hybrid retrieval and language-model extraction with literal evidence validation. A 1,951-paper corpus was assembled; an independent audit found that 95 records (4.9 %) concentrated in 2015–2017 matched the ambiguous abbreviation "GNN" at least 68 with a non-graph meaning. Dense retrieval scored highest on a 19-survey benchmark (nDCG@10 = 0.568 versus 0.490 for BM25 and 0.533 for RRF) but no pairwise difference was statistically significant (Holm-adjusted p = 0.41). All 7,031 retained evidence spans were abstract substrings and, on 76 human-annotated papers, Method F1 was 0.000 under exact matching but 0.748 under semantic matching. Sparsity testing produced no gap candidates. Corpus audits and evaluation design determine whether automated gap claims can be trusted.</w:t>
      </w:r>
    </w:p>
    <w:p>
      <w:pPr>
        <w:pStyle w:val="Normal"/>
        <w:bidi w:val="0"/>
        <w:jc w:val="left"/>
        <w:rPr/>
      </w:pPr>
      <w:r>
        <w:rPr/>
      </w:r>
    </w:p>
    <w:p>
      <w:pPr>
        <w:pStyle w:val="Normal"/>
        <w:bidi w:val="0"/>
        <w:jc w:val="left"/>
        <w:rPr/>
      </w:pPr>
      <w:r>
        <w:rPr>
          <w:b/>
          <w:bCs/>
        </w:rPr>
        <w:t>Keywords</w:t>
      </w:r>
      <w:r>
        <w:rPr/>
        <w:t>: Research gap discovery; Graph neural networks; Information retrieval; Large language models; Evidence grounding; Corpus quality; Evaluation methodology; Topic drift</w:t>
      </w:r>
    </w:p>
    <w:p>
      <w:pPr>
        <w:pStyle w:val="Normal"/>
        <w:bidi w:val="0"/>
        <w:jc w:val="left"/>
        <w:rPr/>
      </w:pPr>
      <w:r>
        <w:rPr/>
      </w:r>
    </w:p>
    <w:p>
      <w:pPr>
        <w:pStyle w:val="Normal"/>
        <w:bidi w:val="0"/>
        <w:jc w:val="left"/>
        <w:rPr/>
      </w:pPr>
      <w:r>
        <w:rPr>
          <w:b/>
          <w:bCs/>
        </w:rPr>
        <w:t>1.Introduction</w:t>
      </w:r>
    </w:p>
    <w:p>
      <w:pPr>
        <w:pStyle w:val="Normal"/>
        <w:bidi w:val="0"/>
        <w:jc w:val="left"/>
        <w:rPr/>
      </w:pPr>
      <w:r>
        <w:rPr>
          <w:b/>
          <w:bCs/>
        </w:rPr>
        <w:t>Background</w:t>
      </w:r>
      <w:r>
        <w:rPr/>
        <w:t>. Language model systems that propose research gaps are usually judged based on the plausibility of their proposals. Plausibility rests on conditions: the corpus must concern the target topic, relevant prior work must be retrievable and every extracted claim must be traceable to its source passage. Graph neural networks (Kipf &amp; Welling, 2017) are a demanding test case because their vocabulary overlaps with usages.</w:t>
      </w:r>
    </w:p>
    <w:p>
      <w:pPr>
        <w:pStyle w:val="Normal"/>
        <w:bidi w:val="0"/>
        <w:jc w:val="left"/>
        <w:rPr/>
      </w:pPr>
      <w:r>
        <w:rPr/>
      </w:r>
    </w:p>
    <w:p>
      <w:pPr>
        <w:pStyle w:val="Normal"/>
        <w:bidi w:val="0"/>
        <w:jc w:val="left"/>
        <w:rPr/>
      </w:pPr>
      <w:r>
        <w:rPr>
          <w:b/>
          <w:bCs/>
        </w:rPr>
        <w:t>Research</w:t>
      </w:r>
      <w:r>
        <w:rPr/>
        <w:t xml:space="preserve"> </w:t>
      </w:r>
      <w:r>
        <w:rPr>
          <w:b/>
          <w:bCs/>
        </w:rPr>
        <w:t>problem</w:t>
      </w:r>
      <w:r>
        <w:rPr/>
        <w:t>. A persuasive gap can be an artifact of a contaminated corpus, missed precedent or an unsupported extraction. This study asks how to establish and report candidly the quality of the substrate beneath a gap</w:t>
        <w:noBreakHyphen/>
        <w:t>discovery system.</w:t>
      </w:r>
    </w:p>
    <w:p>
      <w:pPr>
        <w:pStyle w:val="Normal"/>
        <w:bidi w:val="0"/>
        <w:jc w:val="left"/>
        <w:rPr/>
      </w:pPr>
      <w:r>
        <w:rPr/>
      </w:r>
    </w:p>
    <w:p>
      <w:pPr>
        <w:pStyle w:val="Normal"/>
        <w:bidi w:val="0"/>
        <w:jc w:val="left"/>
        <w:rPr/>
      </w:pPr>
      <w:r>
        <w:rPr>
          <w:b/>
          <w:bCs/>
        </w:rPr>
        <w:t>Significance</w:t>
      </w:r>
      <w:r>
        <w:rPr/>
        <w:t>. Researchers increasingly use automated literature tools (Agarwal et al., 2024; Wu et al., 2025). Auditable evidence about corpus quality and extraction reliability shows how much such tools can be trusted.</w:t>
      </w:r>
    </w:p>
    <w:p>
      <w:pPr>
        <w:pStyle w:val="Normal"/>
        <w:bidi w:val="0"/>
        <w:jc w:val="left"/>
        <w:rPr/>
      </w:pPr>
      <w:r>
        <w:rPr/>
      </w:r>
    </w:p>
    <w:p>
      <w:pPr>
        <w:pStyle w:val="Normal"/>
        <w:bidi w:val="0"/>
        <w:jc w:val="left"/>
        <w:rPr/>
      </w:pPr>
      <w:r>
        <w:rPr>
          <w:b/>
          <w:bCs/>
        </w:rPr>
        <w:t>Research</w:t>
      </w:r>
      <w:r>
        <w:rPr/>
        <w:t xml:space="preserve"> gap. The studies reviewed in Section 2 concentrate on the generated output, reviews or ideas. This study audits the inputs: the corpus beneath them, the support for the extracted claims and the sensitivity of the measured accuracy to the scoring method.</w:t>
      </w:r>
    </w:p>
    <w:p>
      <w:pPr>
        <w:pStyle w:val="Normal"/>
        <w:bidi w:val="0"/>
        <w:jc w:val="left"/>
        <w:rPr/>
      </w:pPr>
      <w:r>
        <w:rPr/>
      </w:r>
    </w:p>
    <w:p>
      <w:pPr>
        <w:pStyle w:val="Normal"/>
        <w:bidi w:val="0"/>
        <w:jc w:val="left"/>
        <w:rPr/>
      </w:pPr>
      <w:r>
        <w:rPr>
          <w:b/>
          <w:bCs/>
        </w:rPr>
        <w:t>Research</w:t>
      </w:r>
      <w:r>
        <w:rPr/>
        <w:t xml:space="preserve"> </w:t>
      </w:r>
      <w:r>
        <w:rPr>
          <w:b/>
          <w:bCs/>
        </w:rPr>
        <w:t>questions</w:t>
      </w:r>
      <w:r>
        <w:rPr/>
        <w:t>. RQ1: How severe was topic drift and does a strict phrase rule yield a corpus? RQ2: How do BM25, dense retrieval and reciprocal rank fusion (RRF) compare in recovering relevance sets? RQ3: How reliably can a language model produce schema</w:t>
        <w:noBreakHyphen/>
        <w:t>valid, span</w:t>
        <w:noBreakHyphen/>
        <w:t>grounded extractions and how closely do they agree with annotation? RQ4: Can sparsity testing on extracted task–method–dataset relations yield gap candidates?</w:t>
      </w:r>
    </w:p>
    <w:p>
      <w:pPr>
        <w:pStyle w:val="Normal"/>
        <w:bidi w:val="0"/>
        <w:jc w:val="left"/>
        <w:rPr/>
      </w:pPr>
      <w:r>
        <w:rPr/>
      </w:r>
    </w:p>
    <w:p>
      <w:pPr>
        <w:pStyle w:val="Normal"/>
        <w:bidi w:val="0"/>
        <w:jc w:val="left"/>
        <w:rPr/>
      </w:pPr>
      <w:r>
        <w:rPr>
          <w:b/>
          <w:bCs/>
        </w:rPr>
        <w:t>Scope</w:t>
      </w:r>
      <w:r>
        <w:rPr/>
        <w:t>. English-language OpenAlex works from 2015 to 2026 with abstracts; retrieval of 19 survey-derived queries; extraction from abstracts.</w:t>
      </w:r>
    </w:p>
    <w:p>
      <w:pPr>
        <w:pStyle w:val="Normal"/>
        <w:bidi w:val="0"/>
        <w:jc w:val="left"/>
        <w:rPr/>
      </w:pPr>
      <w:r>
        <w:rPr/>
      </w:r>
    </w:p>
    <w:p>
      <w:pPr>
        <w:pStyle w:val="Normal"/>
        <w:bidi w:val="0"/>
        <w:jc w:val="left"/>
        <w:rPr/>
      </w:pPr>
      <w:r>
        <w:rPr>
          <w:b/>
          <w:bCs/>
        </w:rPr>
        <w:t>2. Review of Literature</w:t>
      </w:r>
    </w:p>
    <w:p>
      <w:pPr>
        <w:pStyle w:val="Normal"/>
        <w:bidi w:val="0"/>
        <w:jc w:val="left"/>
        <w:rPr/>
      </w:pPr>
      <w:r>
        <w:rPr/>
        <w:t>Kipf and Welling (2017) introduced graph networks and Gilmer et al. (2017) framed graph models as neural message passing. Their vocabulary supplies the screening phrases used here. “Message passing” and the abbreviation "GNN" also occur outside graph learning (Section 4.2).</w:t>
      </w:r>
    </w:p>
    <w:p>
      <w:pPr>
        <w:pStyle w:val="Normal"/>
        <w:bidi w:val="0"/>
        <w:jc w:val="left"/>
        <w:rPr/>
      </w:pPr>
      <w:r>
        <w:rPr/>
      </w:r>
    </w:p>
    <w:p>
      <w:pPr>
        <w:pStyle w:val="Normal"/>
        <w:bidi w:val="0"/>
        <w:jc w:val="left"/>
        <w:rPr/>
      </w:pPr>
      <w:r>
        <w:rPr/>
        <w:t>Swanson (1986) argued that knowledge can be public yet undiscovered when related fragments are never brought together, which is the premise of literature-based discovery. The perspective adopted here is as follows: a candidate gap is credible only if the fragments it links come from a corpus.</w:t>
      </w:r>
    </w:p>
    <w:p>
      <w:pPr>
        <w:pStyle w:val="Normal"/>
        <w:bidi w:val="0"/>
        <w:jc w:val="left"/>
        <w:rPr/>
      </w:pPr>
      <w:r>
        <w:rPr/>
      </w:r>
    </w:p>
    <w:p>
      <w:pPr>
        <w:pStyle w:val="Normal"/>
        <w:bidi w:val="0"/>
        <w:jc w:val="left"/>
        <w:rPr/>
      </w:pPr>
      <w:r>
        <w:rPr/>
        <w:t>Recent systems apply language models to literature work. SciMON retrieves inspirations from papers and iteratively optimizes generated ideas for novelty (Wang et al., 2024). LitLLM combines retrieval-augmented generation, with re-ranking to draft literature reviews while limiting hallucination (Agarwal et al., 2024). Wu et al. (2025) presented an automated review-generation method with a validated evaluation framework, reporting generated reviews that match or exceed manual quality. These studies concentrate on generated text or ideas, not on auditing the corpus or on how the matching method changes measured extraction accuracy; this gap motivates the study.</w:t>
      </w:r>
    </w:p>
    <w:p>
      <w:pPr>
        <w:pStyle w:val="Normal"/>
        <w:bidi w:val="0"/>
        <w:jc w:val="left"/>
        <w:rPr/>
      </w:pPr>
      <w:r>
        <w:rPr/>
        <w:t>Robertson et al. (1995) introduced the Okapi weighting scheme underlying BM25.</w:t>
      </w:r>
    </w:p>
    <w:p>
      <w:pPr>
        <w:pStyle w:val="Normal"/>
        <w:bidi w:val="0"/>
        <w:jc w:val="left"/>
        <w:rPr/>
      </w:pPr>
      <w:r>
        <w:rPr/>
        <w:t>Dense retrieval is built on sentence embeddings, as shown by Reimers and Gurevych (2019) and Xiao et al. (2024).</w:t>
      </w:r>
    </w:p>
    <w:p>
      <w:pPr>
        <w:pStyle w:val="Normal"/>
        <w:bidi w:val="0"/>
        <w:jc w:val="left"/>
        <w:rPr/>
      </w:pPr>
      <w:r>
        <w:rPr/>
        <w:t>Reciprocal rank fusion was reported to outperform Condorcet fusion and other rank-learning methods by Cormack et al. (2009).</w:t>
      </w:r>
    </w:p>
    <w:p>
      <w:pPr>
        <w:pStyle w:val="Normal"/>
        <w:bidi w:val="0"/>
        <w:jc w:val="left"/>
        <w:rPr/>
      </w:pPr>
      <w:r>
        <w:rPr/>
      </w:r>
    </w:p>
    <w:p>
      <w:pPr>
        <w:pStyle w:val="Normal"/>
        <w:bidi w:val="0"/>
        <w:jc w:val="left"/>
        <w:rPr/>
      </w:pPr>
      <w:r>
        <w:rPr>
          <w:b/>
          <w:bCs/>
        </w:rPr>
        <w:t>3. Research Methodology</w:t>
      </w:r>
    </w:p>
    <w:p>
      <w:pPr>
        <w:pStyle w:val="Normal"/>
        <w:bidi w:val="0"/>
        <w:jc w:val="left"/>
        <w:rPr/>
      </w:pPr>
      <w:r>
        <w:rPr/>
        <w:t>The study followed the ten</w:t>
        <w:noBreakHyphen/>
        <w:t>step workflow shown in Figure 1 and each stage was evaluated before the stage.</w:t>
      </w:r>
    </w:p>
    <w:p>
      <w:pPr>
        <w:pStyle w:val="Normal"/>
        <w:bidi w:val="0"/>
        <w:jc w:val="left"/>
        <w:rPr/>
      </w:pPr>
      <w:r>
        <w:rPr/>
        <w:drawing>
          <wp:anchor behindDoc="0" distT="0" distB="0" distL="0" distR="0" simplePos="0" locked="0" layoutInCell="0" allowOverlap="1" relativeHeight="2">
            <wp:simplePos x="0" y="0"/>
            <wp:positionH relativeFrom="column">
              <wp:posOffset>1275715</wp:posOffset>
            </wp:positionH>
            <wp:positionV relativeFrom="paragraph">
              <wp:posOffset>69850</wp:posOffset>
            </wp:positionV>
            <wp:extent cx="3390900" cy="249174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390900" cy="2491740"/>
                    </a:xfrm>
                    <a:prstGeom prst="rect">
                      <a:avLst/>
                    </a:prstGeom>
                  </pic:spPr>
                </pic:pic>
              </a:graphicData>
            </a:graphic>
          </wp:anchor>
        </w:drawing>
      </w:r>
    </w:p>
    <w:p>
      <w:pPr>
        <w:pStyle w:val="Normal"/>
        <w:bidi w:val="0"/>
        <w:jc w:val="left"/>
        <w:rPr/>
      </w:pPr>
      <w:r>
        <w:rPr/>
        <w:tab/>
        <w:tab/>
        <w:tab/>
        <w:tab/>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ind w:left="0" w:right="0" w:hanging="0"/>
        <w:jc w:val="center"/>
        <w:rPr/>
      </w:pPr>
      <w:r>
        <w:rPr>
          <w:rFonts w:eastAsia="Times New Roman" w:cs="Times New Roman" w:ascii="Times New Roman" w:hAnsi="Times New Roman"/>
          <w:b/>
          <w:bCs w:val="false"/>
          <w:sz w:val="21"/>
        </w:rPr>
        <w:t xml:space="preserve">Figure 1: </w:t>
      </w:r>
      <w:r>
        <w:rPr>
          <w:rFonts w:eastAsia="Times New Roman" w:cs="Times New Roman" w:ascii="Times New Roman" w:hAnsi="Times New Roman"/>
          <w:b w:val="false"/>
          <w:bCs w:val="false"/>
          <w:sz w:val="21"/>
        </w:rPr>
        <w:t xml:space="preserve">Flow of the </w:t>
      </w:r>
      <w:r>
        <w:rPr>
          <w:rFonts w:eastAsia="Times New Roman" w:cs="Times New Roman" w:ascii="Times New Roman" w:hAnsi="Times New Roman"/>
          <w:sz w:val="21"/>
        </w:rPr>
        <w:t>step-by-step methodology. Steps 1–5 build and audit the corpus. Step 6 benchmarks retrieval on a separate, earlier-stage candidate pool, while steps 7–10 run on corpus v4: extraction, evidence validation, human validation, and the sparsity test (step 10, shaded, gave a negative result).</w:t>
      </w:r>
    </w:p>
    <w:p>
      <w:pPr>
        <w:pStyle w:val="Normal"/>
        <w:bidi w:val="0"/>
        <w:jc w:val="center"/>
        <w:rPr>
          <w:b w:val="false"/>
          <w:b w:val="false"/>
          <w:bCs w:val="false"/>
        </w:rPr>
      </w:pPr>
      <w:r>
        <w:rPr>
          <w:b w:val="false"/>
          <w:bCs w:val="false"/>
        </w:rPr>
      </w:r>
    </w:p>
    <w:p>
      <w:pPr>
        <w:pStyle w:val="Normal"/>
        <w:bidi w:val="0"/>
        <w:jc w:val="left"/>
        <w:rPr/>
      </w:pPr>
      <w:r>
        <w:rPr>
          <w:b/>
          <w:bCs/>
        </w:rPr>
        <w:t xml:space="preserve">Research design. </w:t>
      </w:r>
      <w:r>
        <w:rPr/>
        <w:t>A staged, component</w:t>
        <w:noBreakHyphen/>
        <w:t>wise evaluation: Steps 1–5 build and audit the corpus steps 6–9 evaluate retrieval and extraction and step 10 tests whether sparsity can flag gaps. The seeds, model identifiers and parameters were recorded.</w:t>
      </w:r>
    </w:p>
    <w:p>
      <w:pPr>
        <w:pStyle w:val="Normal"/>
        <w:bidi w:val="0"/>
        <w:jc w:val="left"/>
        <w:rPr/>
      </w:pPr>
      <w:r>
        <w:rPr/>
      </w:r>
    </w:p>
    <w:p>
      <w:pPr>
        <w:pStyle w:val="Normal"/>
        <w:bidi w:val="0"/>
        <w:jc w:val="left"/>
        <w:rPr/>
      </w:pPr>
      <w:r>
        <w:rPr>
          <w:b/>
          <w:bCs/>
        </w:rPr>
        <w:t>Research. Study context.</w:t>
      </w:r>
      <w:r>
        <w:rPr/>
        <w:t xml:space="preserve"> Quantitative and descriptive with human</w:t>
        <w:noBreakHyphen/>
        <w:t>annotated validation applied to graph network literature (scientometrics and natural language processing) 2015–2026.</w:t>
      </w:r>
    </w:p>
    <w:p>
      <w:pPr>
        <w:pStyle w:val="Normal"/>
        <w:bidi w:val="0"/>
        <w:jc w:val="left"/>
        <w:rPr/>
      </w:pPr>
      <w:r>
        <w:rPr/>
      </w:r>
    </w:p>
    <w:p>
      <w:pPr>
        <w:pStyle w:val="Normal"/>
        <w:bidi w:val="0"/>
        <w:jc w:val="left"/>
        <w:rPr/>
      </w:pPr>
      <w:r>
        <w:rPr>
          <w:b/>
          <w:bCs/>
        </w:rPr>
        <w:t>Population and sample.</w:t>
      </w:r>
      <w:r>
        <w:rPr/>
        <w:t xml:space="preserve"> The population comprised English</w:t>
        <w:noBreakHyphen/>
        <w:t>language works indexed by OpenAlex, 2015–2026 with abstracts and a qualified graph</w:t>
        <w:noBreakHyphen/>
        <w:t>learning phrase. The sample was from Corpus Version 4 (v4; n = 1,951). Retrieval used a candidate pool of 2,072 records and 19 survey queries (2,399 works) and human validation used 76 studies.</w:t>
      </w:r>
    </w:p>
    <w:p>
      <w:pPr>
        <w:pStyle w:val="Normal"/>
        <w:bidi w:val="0"/>
        <w:jc w:val="left"/>
        <w:rPr/>
      </w:pPr>
      <w:r>
        <w:rPr/>
      </w:r>
    </w:p>
    <w:p>
      <w:pPr>
        <w:pStyle w:val="Normal"/>
        <w:bidi w:val="0"/>
        <w:jc w:val="left"/>
        <w:rPr/>
      </w:pPr>
      <w:r>
        <w:rPr>
          <w:b/>
          <w:bCs/>
        </w:rPr>
        <w:t>Sampling technique.</w:t>
      </w:r>
      <w:r>
        <w:rPr/>
        <w:t xml:space="preserve"> Purposive, year</w:t>
        <w:noBreakHyphen/>
        <w:t>stratified sampling: relevance</w:t>
        <w:noBreakHyphen/>
        <w:t>ranked phrase search returned up to 300 candidates per year and at 200 eligible works per year were kept (2015–2017 could not reach the cap). Surveys were ordered by publication year (20 screened of 33 candidates; 19 with an abstract and at least three cited candidates). The human sheet drew 100 papers, stratified by year from a build; the 76 in</w:t>
        <w:noBreakHyphen/>
        <w:t>topic papers present in v4 were retained.</w:t>
      </w:r>
    </w:p>
    <w:p>
      <w:pPr>
        <w:pStyle w:val="Normal"/>
        <w:bidi w:val="0"/>
        <w:jc w:val="left"/>
        <w:rPr/>
      </w:pPr>
      <w:r>
        <w:rPr/>
      </w:r>
    </w:p>
    <w:p>
      <w:pPr>
        <w:pStyle w:val="Normal"/>
        <w:bidi w:val="0"/>
        <w:jc w:val="left"/>
        <w:rPr/>
      </w:pPr>
      <w:r>
        <w:rPr>
          <w:b/>
          <w:bCs/>
        </w:rPr>
        <w:t>Data. Collection.</w:t>
      </w:r>
      <w:r>
        <w:rPr/>
        <w:t xml:space="preserve"> The OpenAlex Works API (Priem et al. (2022)) Was the source. Per-year quoted-phrase queries were followed by a title-and-abstract check for "graph neural network(s)" "GNN(s)" "graph convolutional network(s)" "graph attention network(s)" "graph representation learning," or "message passing neural network(s)”; unqualified "message passing" was excluded. Abstracts were rebuilt from OpenAlex’s index preserving every token occurrence (an earlier version kept only the first occurrence of each word). Duplicates were removed by DOI, title with PRISMA-style flow accounting (Page et al. (2021)).</w:t>
      </w:r>
    </w:p>
    <w:p>
      <w:pPr>
        <w:pStyle w:val="Normal"/>
        <w:bidi w:val="0"/>
        <w:jc w:val="left"/>
        <w:rPr/>
      </w:pPr>
      <w:r>
        <w:rPr/>
      </w:r>
    </w:p>
    <w:p>
      <w:pPr>
        <w:pStyle w:val="Normal"/>
        <w:bidi w:val="0"/>
        <w:jc w:val="left"/>
        <w:rPr/>
      </w:pPr>
      <w:r>
        <w:rPr>
          <w:b/>
          <w:bCs/>
        </w:rPr>
        <w:t xml:space="preserve">Research instruments. </w:t>
      </w:r>
      <w:r>
        <w:rPr/>
        <w:t>BM25 (k1 = 1.5, b = 0.75); BAAI/bge-base-en-v1.5 embeddings with cosine ranking (Xiao et al. (2024)); RRF with k = 60; Gemini 3.1 Flash-Lite (temperature 0 thinking level batch size 8) with a JSON schema for paper type, task, method, dataset, metric, setting, stated limitation and stated future work each paired with an evidence span; a specificity stoplist; and field-specific complete-linkage clustering (cosine ≥ 0.99) for entity normalization.</w:t>
      </w:r>
    </w:p>
    <w:p>
      <w:pPr>
        <w:pStyle w:val="Normal"/>
        <w:bidi w:val="0"/>
        <w:jc w:val="left"/>
        <w:rPr/>
      </w:pPr>
      <w:r>
        <w:rPr/>
      </w:r>
    </w:p>
    <w:p>
      <w:pPr>
        <w:pStyle w:val="Normal"/>
        <w:bidi w:val="0"/>
        <w:jc w:val="left"/>
        <w:rPr/>
      </w:pPr>
      <w:r>
        <w:rPr>
          <w:b/>
          <w:bCs/>
        </w:rPr>
        <w:t>Data analysis techniques.</w:t>
      </w:r>
      <w:r>
        <w:rPr/>
        <w:t xml:space="preserve"> Retrieval used precision @K, recall @K, nDCG@K (Järvelin and Kekäläinen (2002)). Mean average precision (MAP) with percentile bootstrap intervals from 10,000 resamples (Efron (1979)) and exact paired Wilcoxon signed-rank tests (Wilcoxon (1945)) corrected by the Holm (1979) procedure. Extraction was scored against labels by exact match and embedding cosine similarity (threshold 0.6655 the midpoint of the largest gap among ten Method disagreements). Sparsity used a Poisson lower-tail test on cells with an expected count of least 2 with Benjamini-Hochberg [2] (1995) false-discovery control. Extracted values were merged into entities by field-specific complete-linkage clustering of embeddings (cosine similarity threshold 0.99; 5,058 surface forms merged into 4,932 targets). The coarsened analysis was separate: K-means grouped the extracted values, not the merged entities, into 100 task, 30 method and 60 dataset topics with k chosen from 30–100 by sampled cosine silhouette.</w:t>
      </w:r>
    </w:p>
    <w:p>
      <w:pPr>
        <w:pStyle w:val="Normal"/>
        <w:bidi w:val="0"/>
        <w:jc w:val="left"/>
        <w:rPr/>
      </w:pPr>
      <w:r>
        <w:rPr/>
      </w:r>
    </w:p>
    <w:p>
      <w:pPr>
        <w:pStyle w:val="Normal"/>
        <w:bidi w:val="0"/>
        <w:jc w:val="left"/>
        <w:rPr/>
      </w:pPr>
      <w:r>
        <w:rPr>
          <w:b/>
          <w:bCs/>
        </w:rPr>
        <w:t>Ethical considerations.</w:t>
      </w:r>
      <w:r>
        <w:rPr/>
        <w:t xml:space="preserve"> Only public bibliographic metadata and abstracts were used, with no personal data or external participants included. The abstracts were sent to a hosted language model API under terms. AI tools assisted with coding and drafting and all reported figures were checked against saved result files.</w:t>
      </w:r>
    </w:p>
    <w:p>
      <w:pPr>
        <w:pStyle w:val="Normal"/>
        <w:bidi w:val="0"/>
        <w:jc w:val="left"/>
        <w:rPr/>
      </w:pPr>
      <w:r>
        <w:rPr/>
      </w:r>
    </w:p>
    <w:p>
      <w:pPr>
        <w:pStyle w:val="Normal"/>
        <w:bidi w:val="0"/>
        <w:jc w:val="left"/>
        <w:rPr/>
      </w:pPr>
      <w:r>
        <w:rPr>
          <w:b/>
          <w:bCs/>
        </w:rPr>
        <w:t>4. Results / Findings</w:t>
      </w:r>
    </w:p>
    <w:p>
      <w:pPr>
        <w:pStyle w:val="Normal"/>
        <w:bidi w:val="0"/>
        <w:jc w:val="left"/>
        <w:rPr/>
      </w:pPr>
      <w:r>
        <w:rPr>
          <w:b/>
          <w:bCs/>
        </w:rPr>
        <w:t>4.1 Corpus construction.</w:t>
      </w:r>
      <w:r>
        <w:rPr/>
        <w:t xml:space="preserve"> Figure 2 shows the process from 2,879 identified records to 1,951 included. The goal of 200 records was not reached in 2015–2017 (38, 40 and 77 records) and 2026 is not complete; therefore yearly numbers do not show how many papers were published. There was a change in topics in earlier versions: only 34 of 50 sampled v2 records (68%) were on-topic and only 2 of 18 from 2015–2018. The v3 version passed a 50-record check only because the check rule allowed message passing”; 521 of its records matched only that phrase.</w:t>
      </w:r>
    </w:p>
    <w:p>
      <w:pPr>
        <w:pStyle w:val="Normal"/>
        <w:bidi w:val="0"/>
        <w:jc w:val="left"/>
        <w:rPr/>
      </w:pPr>
      <w:r>
        <w:rPr/>
      </w:r>
    </w:p>
    <w:p>
      <w:pPr>
        <w:pStyle w:val="Normal"/>
        <w:bidi w:val="0"/>
        <w:jc w:val="left"/>
        <w:rPr/>
      </w:pPr>
      <w:r>
        <w:rPr/>
        <w:drawing>
          <wp:anchor behindDoc="0" distT="0" distB="0" distL="0" distR="0" simplePos="0" locked="0" layoutInCell="0" allowOverlap="1" relativeHeight="3">
            <wp:simplePos x="0" y="0"/>
            <wp:positionH relativeFrom="column">
              <wp:posOffset>1185545</wp:posOffset>
            </wp:positionH>
            <wp:positionV relativeFrom="paragraph">
              <wp:posOffset>6985</wp:posOffset>
            </wp:positionV>
            <wp:extent cx="3749040" cy="130302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3749040" cy="1303020"/>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center"/>
        <w:rPr/>
      </w:pPr>
      <w:r>
        <w:rPr/>
      </w:r>
    </w:p>
    <w:p>
      <w:pPr>
        <w:pStyle w:val="Normal"/>
        <w:bidi w:val="0"/>
        <w:jc w:val="center"/>
        <w:rPr>
          <w:b/>
          <w:b/>
          <w:bCs/>
        </w:rPr>
      </w:pPr>
      <w:r>
        <w:rPr>
          <w:b/>
          <w:bCs/>
        </w:rPr>
        <w:t xml:space="preserve">Figure 2: </w:t>
      </w:r>
      <w:r>
        <w:rPr>
          <w:b w:val="false"/>
          <w:bCs w:val="false"/>
        </w:rPr>
        <w:t>Corpus v4 selection flow (PRISMA style) from identification to inclusion.</w:t>
      </w:r>
    </w:p>
    <w:p>
      <w:pPr>
        <w:pStyle w:val="Normal"/>
        <w:bidi w:val="0"/>
        <w:jc w:val="left"/>
        <w:rPr/>
      </w:pPr>
      <w:r>
        <w:rPr/>
      </w:r>
    </w:p>
    <w:p>
      <w:pPr>
        <w:pStyle w:val="Normal"/>
        <w:bidi w:val="0"/>
        <w:jc w:val="left"/>
        <w:rPr/>
      </w:pPr>
      <w:r>
        <w:rPr>
          <w:b/>
          <w:bCs/>
        </w:rPr>
        <w:t xml:space="preserve">4.2 Corpus audit. </w:t>
      </w:r>
      <w:r>
        <w:rPr/>
        <w:t>All 50 records in the v4 audit matched both the strict rules; however since the strict rule was used to build the corpus this is a check for consistency not for accuracy. An independent check looked at the abbreviation "GNN" which the rule accepts on its own. Table 1 shows that 95 records (4.9%) match the exact case-sensitive abbreviation, 81 of them from 2015–2017 (52.3% of that time). For 68 of the 95 the text provides a meaning, such as German Neonatal Network, global or group nearest neighbor or generalized, gradient or genetic neural network. Most of the 27 do not seem related by title but at least four are real graph neural network papers (PairNorm, QA-GNN, GraphNeuralCloth and Spatial-Temporal Graph ODE Networks) whose wording the phrase rule did not fully match. The extraction model included 93 of the 95 in scope so they were part of the sparsity input; the annotator correctly marked the two in the group as out of scope. The build rule does not care about capitalization so it also accepted 20 records that match only "GNNS" which seem to relate to satellite navigation (GNSS); these are not, in Table 1.</w:t>
      </w:r>
    </w:p>
    <w:p>
      <w:pPr>
        <w:pStyle w:val="Normal"/>
        <w:bidi w:val="0"/>
        <w:jc w:val="left"/>
        <w:rPr/>
      </w:pPr>
      <w:r>
        <w:rPr/>
      </w:r>
    </w:p>
    <w:p>
      <w:pPr>
        <w:pStyle w:val="Normal"/>
        <w:bidi w:val="0"/>
        <w:ind w:left="0" w:right="0" w:hanging="0"/>
        <w:jc w:val="left"/>
        <w:rPr/>
      </w:pPr>
      <w:r>
        <w:rPr>
          <w:rFonts w:eastAsia="Times New Roman" w:cs="Times New Roman" w:ascii="Times New Roman" w:hAnsi="Times New Roman"/>
          <w:b/>
          <w:sz w:val="21"/>
        </w:rPr>
        <w:t xml:space="preserve">Table 1: </w:t>
      </w:r>
      <w:r>
        <w:rPr>
          <w:rFonts w:eastAsia="Times New Roman" w:cs="Times New Roman" w:ascii="Times New Roman" w:hAnsi="Times New Roman"/>
          <w:sz w:val="21"/>
        </w:rPr>
        <w:t>Records matching only the abbreviation “GNN” (no qualified full phrase) by period.</w:t>
      </w:r>
    </w:p>
    <w:p>
      <w:pPr>
        <w:pStyle w:val="Normal"/>
        <w:bidi w:val="0"/>
        <w:jc w:val="left"/>
        <w:rPr/>
      </w:pPr>
      <w:r>
        <w:rPr/>
      </w:r>
    </w:p>
    <w:tbl>
      <w:tblPr>
        <w:tblW w:w="9361" w:type="dxa"/>
        <w:jc w:val="left"/>
        <w:tblInd w:w="-109" w:type="dxa"/>
        <w:tblLayout w:type="fixed"/>
        <w:tblCellMar>
          <w:top w:w="0" w:type="dxa"/>
          <w:left w:w="108" w:type="dxa"/>
          <w:bottom w:w="0" w:type="dxa"/>
          <w:right w:w="108" w:type="dxa"/>
        </w:tblCellMar>
      </w:tblPr>
      <w:tblGrid>
        <w:gridCol w:w="2908"/>
        <w:gridCol w:w="2068"/>
        <w:gridCol w:w="2488"/>
        <w:gridCol w:w="1896"/>
      </w:tblGrid>
      <w:tr>
        <w:trPr/>
        <w:tc>
          <w:tcPr>
            <w:tcW w:w="2908"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tabs>
                <w:tab w:val="clear" w:pos="709"/>
              </w:tabs>
              <w:bidi w:val="0"/>
              <w:ind w:left="0" w:right="0" w:hanging="0"/>
              <w:jc w:val="left"/>
              <w:rPr/>
            </w:pPr>
            <w:r>
              <w:rPr>
                <w:rFonts w:eastAsia="Times New Roman" w:cs="Times New Roman" w:ascii="Times New Roman" w:hAnsi="Times New Roman"/>
                <w:b/>
                <w:sz w:val="21"/>
              </w:rPr>
              <w:t>Period</w:t>
            </w:r>
          </w:p>
          <w:p>
            <w:pPr>
              <w:pStyle w:val="Normal"/>
              <w:widowControl w:val="false"/>
              <w:tabs>
                <w:tab w:val="clear" w:pos="709"/>
              </w:tabs>
              <w:bidi w:val="0"/>
              <w:ind w:left="0" w:right="0" w:hanging="0"/>
              <w:jc w:val="left"/>
              <w:rPr/>
            </w:pPr>
            <w:r>
              <w:rPr/>
            </w:r>
          </w:p>
        </w:tc>
        <w:tc>
          <w:tcPr>
            <w:tcW w:w="2068"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tabs>
                <w:tab w:val="clear" w:pos="709"/>
              </w:tabs>
              <w:bidi w:val="0"/>
              <w:ind w:left="0" w:right="0" w:hanging="0"/>
              <w:jc w:val="center"/>
              <w:rPr/>
            </w:pPr>
            <w:r>
              <w:rPr>
                <w:rFonts w:eastAsia="Times New Roman" w:cs="Times New Roman" w:ascii="Times New Roman" w:hAnsi="Times New Roman"/>
                <w:b/>
                <w:sz w:val="21"/>
              </w:rPr>
              <w:t>Records in v4</w:t>
            </w:r>
          </w:p>
          <w:p>
            <w:pPr>
              <w:pStyle w:val="Normal"/>
              <w:widowControl w:val="false"/>
              <w:tabs>
                <w:tab w:val="clear" w:pos="709"/>
              </w:tabs>
              <w:bidi w:val="0"/>
              <w:ind w:left="0" w:right="0" w:hanging="0"/>
              <w:jc w:val="center"/>
              <w:rPr/>
            </w:pPr>
            <w:r>
              <w:rPr/>
            </w:r>
          </w:p>
        </w:tc>
        <w:tc>
          <w:tcPr>
            <w:tcW w:w="2488"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tabs>
                <w:tab w:val="clear" w:pos="709"/>
              </w:tabs>
              <w:bidi w:val="0"/>
              <w:ind w:left="0" w:right="0" w:hanging="0"/>
              <w:jc w:val="center"/>
              <w:rPr/>
            </w:pPr>
            <w:r>
              <w:rPr>
                <w:rFonts w:eastAsia="Times New Roman" w:cs="Times New Roman" w:ascii="Times New Roman" w:hAnsi="Times New Roman"/>
                <w:b/>
                <w:sz w:val="21"/>
              </w:rPr>
              <w:t>Abbreviation-only</w:t>
            </w:r>
          </w:p>
          <w:p>
            <w:pPr>
              <w:pStyle w:val="Normal"/>
              <w:widowControl w:val="false"/>
              <w:tabs>
                <w:tab w:val="clear" w:pos="709"/>
              </w:tabs>
              <w:bidi w:val="0"/>
              <w:ind w:left="0" w:right="0" w:hanging="0"/>
              <w:jc w:val="center"/>
              <w:rPr/>
            </w:pPr>
            <w:r>
              <w:rPr/>
            </w:r>
          </w:p>
        </w:tc>
        <w:tc>
          <w:tcPr>
            <w:tcW w:w="1896"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tabs>
                <w:tab w:val="clear" w:pos="709"/>
              </w:tabs>
              <w:bidi w:val="0"/>
              <w:ind w:left="0" w:right="0" w:hanging="0"/>
              <w:jc w:val="center"/>
              <w:rPr/>
            </w:pPr>
            <w:r>
              <w:rPr>
                <w:rFonts w:eastAsia="Times New Roman" w:cs="Times New Roman" w:ascii="Times New Roman" w:hAnsi="Times New Roman"/>
                <w:b/>
                <w:sz w:val="21"/>
              </w:rPr>
              <w:t>Share</w:t>
            </w:r>
          </w:p>
          <w:p>
            <w:pPr>
              <w:pStyle w:val="Normal"/>
              <w:widowControl w:val="false"/>
              <w:tabs>
                <w:tab w:val="clear" w:pos="709"/>
              </w:tabs>
              <w:bidi w:val="0"/>
              <w:ind w:left="0" w:right="0" w:hanging="0"/>
              <w:jc w:val="center"/>
              <w:rPr/>
            </w:pPr>
            <w:r>
              <w:rPr/>
            </w:r>
          </w:p>
        </w:tc>
      </w:tr>
      <w:tr>
        <w:trPr/>
        <w:tc>
          <w:tcPr>
            <w:tcW w:w="2908"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left"/>
              <w:rPr/>
            </w:pPr>
            <w:r>
              <w:rPr>
                <w:rFonts w:eastAsia="Times New Roman" w:cs="Times New Roman" w:ascii="Times New Roman" w:hAnsi="Times New Roman"/>
                <w:sz w:val="21"/>
              </w:rPr>
              <w:t>2015–2017</w:t>
            </w:r>
          </w:p>
          <w:p>
            <w:pPr>
              <w:pStyle w:val="Normal"/>
              <w:widowControl w:val="false"/>
              <w:bidi w:val="0"/>
              <w:ind w:left="0" w:right="0" w:hanging="0"/>
              <w:jc w:val="left"/>
              <w:rPr/>
            </w:pPr>
            <w:r>
              <w:rPr/>
            </w:r>
          </w:p>
        </w:tc>
        <w:tc>
          <w:tcPr>
            <w:tcW w:w="2068"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155</w:t>
            </w:r>
          </w:p>
          <w:p>
            <w:pPr>
              <w:pStyle w:val="Normal"/>
              <w:widowControl w:val="false"/>
              <w:bidi w:val="0"/>
              <w:ind w:left="0" w:right="0" w:hanging="0"/>
              <w:jc w:val="center"/>
              <w:rPr/>
            </w:pPr>
            <w:r>
              <w:rPr/>
            </w:r>
          </w:p>
        </w:tc>
        <w:tc>
          <w:tcPr>
            <w:tcW w:w="2488"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81</w:t>
            </w:r>
          </w:p>
          <w:p>
            <w:pPr>
              <w:pStyle w:val="Normal"/>
              <w:widowControl w:val="false"/>
              <w:bidi w:val="0"/>
              <w:ind w:left="0" w:right="0" w:hanging="0"/>
              <w:jc w:val="center"/>
              <w:rPr/>
            </w:pPr>
            <w:r>
              <w:rPr/>
            </w:r>
          </w:p>
        </w:tc>
        <w:tc>
          <w:tcPr>
            <w:tcW w:w="1896"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52.3%</w:t>
            </w:r>
          </w:p>
          <w:p>
            <w:pPr>
              <w:pStyle w:val="Normal"/>
              <w:widowControl w:val="false"/>
              <w:bidi w:val="0"/>
              <w:ind w:left="0" w:right="0" w:hanging="0"/>
              <w:jc w:val="center"/>
              <w:rPr/>
            </w:pPr>
            <w:r>
              <w:rPr/>
            </w:r>
          </w:p>
        </w:tc>
      </w:tr>
      <w:tr>
        <w:trPr/>
        <w:tc>
          <w:tcPr>
            <w:tcW w:w="2908"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left"/>
              <w:rPr/>
            </w:pPr>
            <w:r>
              <w:rPr>
                <w:rFonts w:eastAsia="Times New Roman" w:cs="Times New Roman" w:ascii="Times New Roman" w:hAnsi="Times New Roman"/>
                <w:sz w:val="21"/>
              </w:rPr>
              <w:t>2018–2026</w:t>
            </w:r>
          </w:p>
          <w:p>
            <w:pPr>
              <w:pStyle w:val="Normal"/>
              <w:widowControl w:val="false"/>
              <w:bidi w:val="0"/>
              <w:ind w:left="0" w:right="0" w:hanging="0"/>
              <w:jc w:val="left"/>
              <w:rPr/>
            </w:pPr>
            <w:r>
              <w:rPr/>
            </w:r>
          </w:p>
        </w:tc>
        <w:tc>
          <w:tcPr>
            <w:tcW w:w="2068"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1,796</w:t>
            </w:r>
          </w:p>
          <w:p>
            <w:pPr>
              <w:pStyle w:val="Normal"/>
              <w:widowControl w:val="false"/>
              <w:bidi w:val="0"/>
              <w:ind w:left="0" w:right="0" w:hanging="0"/>
              <w:jc w:val="center"/>
              <w:rPr/>
            </w:pPr>
            <w:r>
              <w:rPr/>
            </w:r>
          </w:p>
        </w:tc>
        <w:tc>
          <w:tcPr>
            <w:tcW w:w="2488"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14</w:t>
            </w:r>
          </w:p>
          <w:p>
            <w:pPr>
              <w:pStyle w:val="Normal"/>
              <w:widowControl w:val="false"/>
              <w:bidi w:val="0"/>
              <w:ind w:left="0" w:right="0" w:hanging="0"/>
              <w:jc w:val="center"/>
              <w:rPr/>
            </w:pPr>
            <w:r>
              <w:rPr/>
            </w:r>
          </w:p>
        </w:tc>
        <w:tc>
          <w:tcPr>
            <w:tcW w:w="1896"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0.8%</w:t>
            </w:r>
          </w:p>
          <w:p>
            <w:pPr>
              <w:pStyle w:val="Normal"/>
              <w:widowControl w:val="false"/>
              <w:bidi w:val="0"/>
              <w:ind w:left="0" w:right="0" w:hanging="0"/>
              <w:jc w:val="center"/>
              <w:rPr/>
            </w:pPr>
            <w:r>
              <w:rPr/>
            </w:r>
          </w:p>
        </w:tc>
      </w:tr>
      <w:tr>
        <w:trPr/>
        <w:tc>
          <w:tcPr>
            <w:tcW w:w="2908"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left"/>
              <w:rPr/>
            </w:pPr>
            <w:r>
              <w:rPr>
                <w:rFonts w:eastAsia="Times New Roman" w:cs="Times New Roman" w:ascii="Times New Roman" w:hAnsi="Times New Roman"/>
                <w:sz w:val="21"/>
              </w:rPr>
              <w:t>All years</w:t>
            </w:r>
          </w:p>
          <w:p>
            <w:pPr>
              <w:pStyle w:val="Normal"/>
              <w:widowControl w:val="false"/>
              <w:bidi w:val="0"/>
              <w:ind w:left="0" w:right="0" w:hanging="0"/>
              <w:jc w:val="left"/>
              <w:rPr/>
            </w:pPr>
            <w:r>
              <w:rPr/>
            </w:r>
          </w:p>
        </w:tc>
        <w:tc>
          <w:tcPr>
            <w:tcW w:w="2068"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1,951</w:t>
            </w:r>
          </w:p>
          <w:p>
            <w:pPr>
              <w:pStyle w:val="Normal"/>
              <w:widowControl w:val="false"/>
              <w:bidi w:val="0"/>
              <w:ind w:left="0" w:right="0" w:hanging="0"/>
              <w:jc w:val="center"/>
              <w:rPr/>
            </w:pPr>
            <w:r>
              <w:rPr/>
            </w:r>
          </w:p>
        </w:tc>
        <w:tc>
          <w:tcPr>
            <w:tcW w:w="2488"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95</w:t>
            </w:r>
          </w:p>
          <w:p>
            <w:pPr>
              <w:pStyle w:val="Normal"/>
              <w:widowControl w:val="false"/>
              <w:bidi w:val="0"/>
              <w:ind w:left="0" w:right="0" w:hanging="0"/>
              <w:jc w:val="center"/>
              <w:rPr/>
            </w:pPr>
            <w:r>
              <w:rPr/>
            </w:r>
          </w:p>
        </w:tc>
        <w:tc>
          <w:tcPr>
            <w:tcW w:w="1896"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4.9%</w:t>
            </w:r>
          </w:p>
          <w:p>
            <w:pPr>
              <w:pStyle w:val="Normal"/>
              <w:widowControl w:val="false"/>
              <w:bidi w:val="0"/>
              <w:ind w:left="0" w:right="0" w:hanging="0"/>
              <w:jc w:val="center"/>
              <w:rPr/>
            </w:pPr>
            <w:r>
              <w:rPr/>
            </w:r>
          </w:p>
        </w:tc>
      </w:tr>
    </w:tbl>
    <w:p>
      <w:pPr>
        <w:pStyle w:val="Normal"/>
        <w:bidi w:val="0"/>
        <w:jc w:val="left"/>
        <w:rPr/>
      </w:pPr>
      <w:r>
        <w:rPr/>
      </w:r>
    </w:p>
    <w:p>
      <w:pPr>
        <w:pStyle w:val="Normal"/>
        <w:bidi w:val="0"/>
        <w:jc w:val="left"/>
        <w:rPr/>
      </w:pPr>
      <w:r>
        <w:rPr>
          <w:b/>
          <w:bCs/>
        </w:rPr>
        <w:t>4.3 Retrieval.</w:t>
      </w:r>
      <w:r>
        <w:rPr/>
        <w:t xml:space="preserve"> Dense retrieval had the mean nDCG@10, precision@10 and recall@10 while RRF was higher on nDCG@20 and MAP (Table 2; Figure 4a). In paired tests no difference was statistically significant. For retrieval versus BM25 on nDCG@10, the primary metric (fixed after seeing first-pass results) the raw p was 0.081, the Holm-adjusted p was 0.41 across five comparisons and p was 0.81 across all ten; dense retrieval versus RRF gave p = 0.25. These figures come from a rerun with corrected abstracts. The pass retrieval pool contained incomplete abstracts with repeated words dropped (1,980 of 2,072 abstracts were longer after reconstruction with a mean of 171 rather than 117 words) and its apparent significant advantage for dense retrieval over BM25 (Holm-adjusted p = 0.038) did not replicate. A sensitivity analysis excluding five surveys with over 30% references (14 queries) gave a similar picture: nDCG@10 was 0.539 for dense retrieval 0.486 for BM25 and 0.485 for RRF (dense versus BM25 p = 0.34) and RRF was slightly higher than dense retrieval on nDCG@20 (0.479, versus 0.468).</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ind w:left="0" w:right="0" w:hanging="0"/>
        <w:jc w:val="left"/>
        <w:rPr/>
      </w:pPr>
      <w:r>
        <w:rPr>
          <w:rFonts w:eastAsia="Times New Roman" w:cs="Times New Roman" w:ascii="Times New Roman" w:hAnsi="Times New Roman"/>
          <w:b/>
          <w:sz w:val="21"/>
        </w:rPr>
        <w:t xml:space="preserve">Table 2: </w:t>
      </w:r>
      <w:r>
        <w:rPr>
          <w:rFonts w:eastAsia="Times New Roman" w:cs="Times New Roman" w:ascii="Times New Roman" w:hAnsi="Times New Roman"/>
          <w:sz w:val="21"/>
        </w:rPr>
        <w:t>Retrieval effectiveness on the 19-survey benchmark (mean [95% bootstrap interval]).</w:t>
      </w:r>
    </w:p>
    <w:p>
      <w:pPr>
        <w:pStyle w:val="Normal"/>
        <w:bidi w:val="0"/>
        <w:jc w:val="left"/>
        <w:rPr/>
      </w:pPr>
      <w:r>
        <w:rPr/>
      </w:r>
    </w:p>
    <w:tbl>
      <w:tblPr>
        <w:tblW w:w="9361" w:type="dxa"/>
        <w:jc w:val="left"/>
        <w:tblInd w:w="-109" w:type="dxa"/>
        <w:tblLayout w:type="fixed"/>
        <w:tblCellMar>
          <w:top w:w="0" w:type="dxa"/>
          <w:left w:w="108" w:type="dxa"/>
          <w:bottom w:w="0" w:type="dxa"/>
          <w:right w:w="108" w:type="dxa"/>
        </w:tblCellMar>
      </w:tblPr>
      <w:tblGrid>
        <w:gridCol w:w="1896"/>
        <w:gridCol w:w="2488"/>
        <w:gridCol w:w="2488"/>
        <w:gridCol w:w="2488"/>
      </w:tblGrid>
      <w:tr>
        <w:trPr/>
        <w:tc>
          <w:tcPr>
            <w:tcW w:w="1896"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tabs>
                <w:tab w:val="clear" w:pos="709"/>
              </w:tabs>
              <w:bidi w:val="0"/>
              <w:ind w:left="0" w:right="0" w:hanging="0"/>
              <w:jc w:val="left"/>
              <w:rPr/>
            </w:pPr>
            <w:r>
              <w:rPr>
                <w:rFonts w:eastAsia="Times New Roman" w:cs="Times New Roman" w:ascii="Times New Roman" w:hAnsi="Times New Roman"/>
                <w:b/>
                <w:sz w:val="21"/>
              </w:rPr>
              <w:t>Metric</w:t>
            </w:r>
          </w:p>
          <w:p>
            <w:pPr>
              <w:pStyle w:val="Normal"/>
              <w:widowControl w:val="false"/>
              <w:tabs>
                <w:tab w:val="clear" w:pos="709"/>
              </w:tabs>
              <w:bidi w:val="0"/>
              <w:ind w:left="0" w:right="0" w:hanging="0"/>
              <w:jc w:val="left"/>
              <w:rPr/>
            </w:pPr>
            <w:r>
              <w:rPr/>
            </w:r>
          </w:p>
        </w:tc>
        <w:tc>
          <w:tcPr>
            <w:tcW w:w="2488"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tabs>
                <w:tab w:val="clear" w:pos="709"/>
              </w:tabs>
              <w:bidi w:val="0"/>
              <w:ind w:left="0" w:right="0" w:hanging="0"/>
              <w:jc w:val="center"/>
              <w:rPr/>
            </w:pPr>
            <w:r>
              <w:rPr>
                <w:rFonts w:eastAsia="Times New Roman" w:cs="Times New Roman" w:ascii="Times New Roman" w:hAnsi="Times New Roman"/>
                <w:b/>
                <w:sz w:val="21"/>
              </w:rPr>
              <w:t>BM25</w:t>
            </w:r>
          </w:p>
          <w:p>
            <w:pPr>
              <w:pStyle w:val="Normal"/>
              <w:widowControl w:val="false"/>
              <w:tabs>
                <w:tab w:val="clear" w:pos="709"/>
              </w:tabs>
              <w:bidi w:val="0"/>
              <w:ind w:left="0" w:right="0" w:hanging="0"/>
              <w:jc w:val="center"/>
              <w:rPr/>
            </w:pPr>
            <w:r>
              <w:rPr/>
            </w:r>
          </w:p>
        </w:tc>
        <w:tc>
          <w:tcPr>
            <w:tcW w:w="2488"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tabs>
                <w:tab w:val="clear" w:pos="709"/>
              </w:tabs>
              <w:bidi w:val="0"/>
              <w:ind w:left="0" w:right="0" w:hanging="0"/>
              <w:jc w:val="center"/>
              <w:rPr/>
            </w:pPr>
            <w:r>
              <w:rPr>
                <w:rFonts w:eastAsia="Times New Roman" w:cs="Times New Roman" w:ascii="Times New Roman" w:hAnsi="Times New Roman"/>
                <w:b/>
                <w:sz w:val="21"/>
              </w:rPr>
              <w:t>Dense (BGE)</w:t>
            </w:r>
          </w:p>
          <w:p>
            <w:pPr>
              <w:pStyle w:val="Normal"/>
              <w:widowControl w:val="false"/>
              <w:tabs>
                <w:tab w:val="clear" w:pos="709"/>
              </w:tabs>
              <w:bidi w:val="0"/>
              <w:ind w:left="0" w:right="0" w:hanging="0"/>
              <w:jc w:val="center"/>
              <w:rPr/>
            </w:pPr>
            <w:r>
              <w:rPr/>
            </w:r>
          </w:p>
        </w:tc>
        <w:tc>
          <w:tcPr>
            <w:tcW w:w="2488"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tabs>
                <w:tab w:val="clear" w:pos="709"/>
              </w:tabs>
              <w:bidi w:val="0"/>
              <w:ind w:left="0" w:right="0" w:hanging="0"/>
              <w:jc w:val="center"/>
              <w:rPr/>
            </w:pPr>
            <w:r>
              <w:rPr>
                <w:rFonts w:eastAsia="Times New Roman" w:cs="Times New Roman" w:ascii="Times New Roman" w:hAnsi="Times New Roman"/>
                <w:b/>
                <w:sz w:val="21"/>
              </w:rPr>
              <w:t>RRF (k = 60)</w:t>
            </w:r>
          </w:p>
          <w:p>
            <w:pPr>
              <w:pStyle w:val="Normal"/>
              <w:widowControl w:val="false"/>
              <w:tabs>
                <w:tab w:val="clear" w:pos="709"/>
              </w:tabs>
              <w:bidi w:val="0"/>
              <w:ind w:left="0" w:right="0" w:hanging="0"/>
              <w:jc w:val="center"/>
              <w:rPr/>
            </w:pPr>
            <w:r>
              <w:rPr/>
            </w:r>
          </w:p>
        </w:tc>
      </w:tr>
      <w:tr>
        <w:trPr/>
        <w:tc>
          <w:tcPr>
            <w:tcW w:w="1896"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left"/>
              <w:rPr/>
            </w:pPr>
            <w:r>
              <w:rPr>
                <w:rFonts w:eastAsia="Times New Roman" w:cs="Times New Roman" w:ascii="Times New Roman" w:hAnsi="Times New Roman"/>
                <w:sz w:val="21"/>
              </w:rPr>
              <w:t>Precision@10</w:t>
            </w:r>
          </w:p>
          <w:p>
            <w:pPr>
              <w:pStyle w:val="Normal"/>
              <w:widowControl w:val="false"/>
              <w:bidi w:val="0"/>
              <w:ind w:left="0" w:right="0" w:hanging="0"/>
              <w:jc w:val="left"/>
              <w:rPr/>
            </w:pPr>
            <w:r>
              <w:rPr/>
            </w:r>
          </w:p>
        </w:tc>
        <w:tc>
          <w:tcPr>
            <w:tcW w:w="2488"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0.495 [0.358, 0.632]</w:t>
            </w:r>
          </w:p>
          <w:p>
            <w:pPr>
              <w:pStyle w:val="Normal"/>
              <w:widowControl w:val="false"/>
              <w:bidi w:val="0"/>
              <w:ind w:left="0" w:right="0" w:hanging="0"/>
              <w:jc w:val="center"/>
              <w:rPr/>
            </w:pPr>
            <w:r>
              <w:rPr/>
            </w:r>
          </w:p>
        </w:tc>
        <w:tc>
          <w:tcPr>
            <w:tcW w:w="2488"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0.547 [0.426, 0.668]</w:t>
            </w:r>
          </w:p>
          <w:p>
            <w:pPr>
              <w:pStyle w:val="Normal"/>
              <w:widowControl w:val="false"/>
              <w:bidi w:val="0"/>
              <w:ind w:left="0" w:right="0" w:hanging="0"/>
              <w:jc w:val="center"/>
              <w:rPr/>
            </w:pPr>
            <w:r>
              <w:rPr/>
            </w:r>
          </w:p>
        </w:tc>
        <w:tc>
          <w:tcPr>
            <w:tcW w:w="2488"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0.521 [0.389, 0.653]</w:t>
            </w:r>
          </w:p>
          <w:p>
            <w:pPr>
              <w:pStyle w:val="Normal"/>
              <w:widowControl w:val="false"/>
              <w:bidi w:val="0"/>
              <w:ind w:left="0" w:right="0" w:hanging="0"/>
              <w:jc w:val="center"/>
              <w:rPr/>
            </w:pPr>
            <w:r>
              <w:rPr/>
            </w:r>
          </w:p>
        </w:tc>
      </w:tr>
      <w:tr>
        <w:trPr/>
        <w:tc>
          <w:tcPr>
            <w:tcW w:w="1896"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left"/>
              <w:rPr/>
            </w:pPr>
            <w:r>
              <w:rPr>
                <w:rFonts w:eastAsia="Times New Roman" w:cs="Times New Roman" w:ascii="Times New Roman" w:hAnsi="Times New Roman"/>
                <w:sz w:val="21"/>
              </w:rPr>
              <w:t>Recall@10</w:t>
            </w:r>
          </w:p>
          <w:p>
            <w:pPr>
              <w:pStyle w:val="Normal"/>
              <w:widowControl w:val="false"/>
              <w:bidi w:val="0"/>
              <w:ind w:left="0" w:right="0" w:hanging="0"/>
              <w:jc w:val="left"/>
              <w:rPr/>
            </w:pPr>
            <w:r>
              <w:rPr/>
            </w:r>
          </w:p>
        </w:tc>
        <w:tc>
          <w:tcPr>
            <w:tcW w:w="2488"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0.042 [0.029, 0.056]</w:t>
            </w:r>
          </w:p>
          <w:p>
            <w:pPr>
              <w:pStyle w:val="Normal"/>
              <w:widowControl w:val="false"/>
              <w:bidi w:val="0"/>
              <w:ind w:left="0" w:right="0" w:hanging="0"/>
              <w:jc w:val="center"/>
              <w:rPr/>
            </w:pPr>
            <w:r>
              <w:rPr/>
            </w:r>
          </w:p>
        </w:tc>
        <w:tc>
          <w:tcPr>
            <w:tcW w:w="2488"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0.051 [0.037, 0.064]</w:t>
            </w:r>
          </w:p>
          <w:p>
            <w:pPr>
              <w:pStyle w:val="Normal"/>
              <w:widowControl w:val="false"/>
              <w:bidi w:val="0"/>
              <w:ind w:left="0" w:right="0" w:hanging="0"/>
              <w:jc w:val="center"/>
              <w:rPr/>
            </w:pPr>
            <w:r>
              <w:rPr/>
            </w:r>
          </w:p>
        </w:tc>
        <w:tc>
          <w:tcPr>
            <w:tcW w:w="2488"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0.046 [0.032, 0.060]</w:t>
            </w:r>
          </w:p>
          <w:p>
            <w:pPr>
              <w:pStyle w:val="Normal"/>
              <w:widowControl w:val="false"/>
              <w:bidi w:val="0"/>
              <w:ind w:left="0" w:right="0" w:hanging="0"/>
              <w:jc w:val="center"/>
              <w:rPr/>
            </w:pPr>
            <w:r>
              <w:rPr/>
            </w:r>
          </w:p>
        </w:tc>
      </w:tr>
      <w:tr>
        <w:trPr/>
        <w:tc>
          <w:tcPr>
            <w:tcW w:w="1896"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left"/>
              <w:rPr/>
            </w:pPr>
            <w:r>
              <w:rPr>
                <w:rFonts w:eastAsia="Times New Roman" w:cs="Times New Roman" w:ascii="Times New Roman" w:hAnsi="Times New Roman"/>
                <w:sz w:val="21"/>
              </w:rPr>
              <w:t>nDCG@10</w:t>
            </w:r>
          </w:p>
          <w:p>
            <w:pPr>
              <w:pStyle w:val="Normal"/>
              <w:widowControl w:val="false"/>
              <w:bidi w:val="0"/>
              <w:ind w:left="0" w:right="0" w:hanging="0"/>
              <w:jc w:val="left"/>
              <w:rPr/>
            </w:pPr>
            <w:r>
              <w:rPr/>
            </w:r>
          </w:p>
        </w:tc>
        <w:tc>
          <w:tcPr>
            <w:tcW w:w="2488"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0.490 [0.350, 0.636]</w:t>
            </w:r>
          </w:p>
          <w:p>
            <w:pPr>
              <w:pStyle w:val="Normal"/>
              <w:widowControl w:val="false"/>
              <w:bidi w:val="0"/>
              <w:ind w:left="0" w:right="0" w:hanging="0"/>
              <w:jc w:val="center"/>
              <w:rPr/>
            </w:pPr>
            <w:r>
              <w:rPr/>
            </w:r>
          </w:p>
        </w:tc>
        <w:tc>
          <w:tcPr>
            <w:tcW w:w="2488"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0.568 [0.448, 0.687]</w:t>
            </w:r>
          </w:p>
          <w:p>
            <w:pPr>
              <w:pStyle w:val="Normal"/>
              <w:widowControl w:val="false"/>
              <w:bidi w:val="0"/>
              <w:ind w:left="0" w:right="0" w:hanging="0"/>
              <w:jc w:val="center"/>
              <w:rPr/>
            </w:pPr>
            <w:r>
              <w:rPr/>
            </w:r>
          </w:p>
        </w:tc>
        <w:tc>
          <w:tcPr>
            <w:tcW w:w="2488"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0.533 [0.397, 0.667]</w:t>
            </w:r>
          </w:p>
          <w:p>
            <w:pPr>
              <w:pStyle w:val="Normal"/>
              <w:widowControl w:val="false"/>
              <w:bidi w:val="0"/>
              <w:ind w:left="0" w:right="0" w:hanging="0"/>
              <w:jc w:val="center"/>
              <w:rPr/>
            </w:pPr>
            <w:r>
              <w:rPr/>
            </w:r>
          </w:p>
        </w:tc>
      </w:tr>
      <w:tr>
        <w:trPr/>
        <w:tc>
          <w:tcPr>
            <w:tcW w:w="1896"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left"/>
              <w:rPr/>
            </w:pPr>
            <w:r>
              <w:rPr>
                <w:rFonts w:eastAsia="Times New Roman" w:cs="Times New Roman" w:ascii="Times New Roman" w:hAnsi="Times New Roman"/>
                <w:sz w:val="21"/>
              </w:rPr>
              <w:t>nDCG@20</w:t>
            </w:r>
          </w:p>
          <w:p>
            <w:pPr>
              <w:pStyle w:val="Normal"/>
              <w:widowControl w:val="false"/>
              <w:bidi w:val="0"/>
              <w:ind w:left="0" w:right="0" w:hanging="0"/>
              <w:jc w:val="left"/>
              <w:rPr/>
            </w:pPr>
            <w:r>
              <w:rPr/>
            </w:r>
          </w:p>
        </w:tc>
        <w:tc>
          <w:tcPr>
            <w:tcW w:w="2488"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0.454 [0.329, 0.585]</w:t>
            </w:r>
          </w:p>
          <w:p>
            <w:pPr>
              <w:pStyle w:val="Normal"/>
              <w:widowControl w:val="false"/>
              <w:bidi w:val="0"/>
              <w:ind w:left="0" w:right="0" w:hanging="0"/>
              <w:jc w:val="center"/>
              <w:rPr/>
            </w:pPr>
            <w:r>
              <w:rPr/>
            </w:r>
          </w:p>
        </w:tc>
        <w:tc>
          <w:tcPr>
            <w:tcW w:w="2488"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0.489 [0.387, 0.596]</w:t>
            </w:r>
          </w:p>
          <w:p>
            <w:pPr>
              <w:pStyle w:val="Normal"/>
              <w:widowControl w:val="false"/>
              <w:bidi w:val="0"/>
              <w:ind w:left="0" w:right="0" w:hanging="0"/>
              <w:jc w:val="center"/>
              <w:rPr/>
            </w:pPr>
            <w:r>
              <w:rPr/>
            </w:r>
          </w:p>
        </w:tc>
        <w:tc>
          <w:tcPr>
            <w:tcW w:w="2488"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0.503 [0.386, 0.622]</w:t>
            </w:r>
          </w:p>
          <w:p>
            <w:pPr>
              <w:pStyle w:val="Normal"/>
              <w:widowControl w:val="false"/>
              <w:bidi w:val="0"/>
              <w:ind w:left="0" w:right="0" w:hanging="0"/>
              <w:jc w:val="center"/>
              <w:rPr/>
            </w:pPr>
            <w:r>
              <w:rPr/>
            </w:r>
          </w:p>
        </w:tc>
      </w:tr>
      <w:tr>
        <w:trPr/>
        <w:tc>
          <w:tcPr>
            <w:tcW w:w="1896"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left"/>
              <w:rPr/>
            </w:pPr>
            <w:r>
              <w:rPr>
                <w:rFonts w:eastAsia="Times New Roman" w:cs="Times New Roman" w:ascii="Times New Roman" w:hAnsi="Times New Roman"/>
                <w:sz w:val="21"/>
              </w:rPr>
              <w:t>MAP</w:t>
            </w:r>
          </w:p>
          <w:p>
            <w:pPr>
              <w:pStyle w:val="Normal"/>
              <w:widowControl w:val="false"/>
              <w:bidi w:val="0"/>
              <w:ind w:left="0" w:right="0" w:hanging="0"/>
              <w:jc w:val="left"/>
              <w:rPr/>
            </w:pPr>
            <w:r>
              <w:rPr/>
            </w:r>
          </w:p>
        </w:tc>
        <w:tc>
          <w:tcPr>
            <w:tcW w:w="2488"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0.215 [0.162, 0.274]</w:t>
            </w:r>
          </w:p>
          <w:p>
            <w:pPr>
              <w:pStyle w:val="Normal"/>
              <w:widowControl w:val="false"/>
              <w:bidi w:val="0"/>
              <w:ind w:left="0" w:right="0" w:hanging="0"/>
              <w:jc w:val="center"/>
              <w:rPr/>
            </w:pPr>
            <w:r>
              <w:rPr/>
            </w:r>
          </w:p>
        </w:tc>
        <w:tc>
          <w:tcPr>
            <w:tcW w:w="2488"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0.261 [0.215, 0.306]</w:t>
            </w:r>
          </w:p>
          <w:p>
            <w:pPr>
              <w:pStyle w:val="Normal"/>
              <w:widowControl w:val="false"/>
              <w:bidi w:val="0"/>
              <w:ind w:left="0" w:right="0" w:hanging="0"/>
              <w:jc w:val="center"/>
              <w:rPr/>
            </w:pPr>
            <w:r>
              <w:rPr/>
            </w:r>
          </w:p>
        </w:tc>
        <w:tc>
          <w:tcPr>
            <w:tcW w:w="2488"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0.271 [0.214, 0.329]</w:t>
            </w:r>
          </w:p>
          <w:p>
            <w:pPr>
              <w:pStyle w:val="Normal"/>
              <w:widowControl w:val="false"/>
              <w:bidi w:val="0"/>
              <w:ind w:left="0" w:right="0" w:hanging="0"/>
              <w:jc w:val="center"/>
              <w:rPr/>
            </w:pPr>
            <w:r>
              <w:rPr/>
            </w:r>
          </w:p>
        </w:tc>
      </w:tr>
    </w:tbl>
    <w:p>
      <w:pPr>
        <w:pStyle w:val="Normal"/>
        <w:bidi w:val="0"/>
        <w:jc w:val="left"/>
        <w:rPr/>
      </w:pPr>
      <w:r>
        <w:rPr/>
      </w:r>
    </w:p>
    <w:p>
      <w:pPr>
        <w:pStyle w:val="Normal"/>
        <w:bidi w:val="0"/>
        <w:jc w:val="left"/>
        <w:rPr/>
      </w:pPr>
      <w:r>
        <w:rPr/>
        <w:drawing>
          <wp:anchor behindDoc="0" distT="0" distB="0" distL="0" distR="0" simplePos="0" locked="0" layoutInCell="0" allowOverlap="1" relativeHeight="4">
            <wp:simplePos x="0" y="0"/>
            <wp:positionH relativeFrom="column">
              <wp:posOffset>1078865</wp:posOffset>
            </wp:positionH>
            <wp:positionV relativeFrom="paragraph">
              <wp:posOffset>7620</wp:posOffset>
            </wp:positionV>
            <wp:extent cx="3749040" cy="139446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3749040" cy="1394460"/>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spacing w:lineRule="exact" w:line="150" w:before="0" w:after="0"/>
        <w:ind w:left="0" w:right="0" w:hanging="0"/>
        <w:jc w:val="left"/>
        <w:rPr/>
      </w:pPr>
      <w:r>
        <w:rPr/>
      </w:r>
    </w:p>
    <w:p>
      <w:pPr>
        <w:pStyle w:val="Normal"/>
        <w:bidi w:val="0"/>
        <w:ind w:left="0" w:right="0" w:hanging="0"/>
        <w:jc w:val="center"/>
        <w:rPr/>
      </w:pPr>
      <w:r>
        <w:rPr>
          <w:rFonts w:eastAsia="Times New Roman" w:cs="Times New Roman" w:ascii="Times New Roman" w:hAnsi="Times New Roman"/>
          <w:b/>
          <w:sz w:val="21"/>
        </w:rPr>
        <w:t xml:space="preserve">Figure 3: </w:t>
      </w:r>
      <w:r>
        <w:rPr>
          <w:rFonts w:eastAsia="Times New Roman" w:cs="Times New Roman" w:ascii="Times New Roman" w:hAnsi="Times New Roman"/>
          <w:sz w:val="21"/>
        </w:rPr>
        <w:t>Evidence-grounded extraction and validation flow with full corpus outcomes.</w:t>
      </w:r>
    </w:p>
    <w:p>
      <w:pPr>
        <w:pStyle w:val="Normal"/>
        <w:bidi w:val="0"/>
        <w:ind w:left="0" w:right="0" w:hanging="0"/>
        <w:jc w:val="center"/>
        <w:rPr>
          <w:rFonts w:ascii="Times New Roman" w:hAnsi="Times New Roman" w:eastAsia="Times New Roman" w:cs="Times New Roman"/>
          <w:sz w:val="21"/>
        </w:rPr>
      </w:pPr>
      <w:r>
        <w:rPr>
          <w:rFonts w:eastAsia="Times New Roman" w:cs="Times New Roman" w:ascii="Times New Roman" w:hAnsi="Times New Roman"/>
          <w:sz w:val="21"/>
        </w:rPr>
      </w:r>
    </w:p>
    <w:p>
      <w:pPr>
        <w:pStyle w:val="Normal"/>
        <w:bidi w:val="0"/>
        <w:jc w:val="left"/>
        <w:rPr/>
      </w:pPr>
      <w:r>
        <w:rPr/>
        <w:t>4.4 Extraction. In a comparison of 100 papers using schema and span validation Gemini 3.1 Flash-Lite generated 90 valid records. Gemini 3.5 Flash-Lite produced 89 records. Gemma 4 31B produced 86 records. The first model, Gemini 3.1 Flash-Lite was selected for reproducibility not because it showed a clear advantage in accuracy. The full run successfully validated all 1,951 papers. Out of 7,218 non-null spans, 6,858 (95.0%) were exact matches. 173 (2.4%) Were. 187 (2.6%) Were marked as null. This left a total of 7,031 spans as shown in Figure 3. A heuristic audit flagged 123 spans (1.7%) as fabricated and 237 as misses. However this classifier was not validated against judgment.</w:t>
      </w:r>
    </w:p>
    <w:p>
      <w:pPr>
        <w:pStyle w:val="Normal"/>
        <w:bidi w:val="0"/>
        <w:jc w:val="left"/>
        <w:rPr/>
      </w:pPr>
      <w:r>
        <w:rPr/>
        <w:drawing>
          <wp:anchor behindDoc="0" distT="0" distB="0" distL="0" distR="0" simplePos="0" locked="0" layoutInCell="0" allowOverlap="1" relativeHeight="5">
            <wp:simplePos x="0" y="0"/>
            <wp:positionH relativeFrom="column">
              <wp:posOffset>1086485</wp:posOffset>
            </wp:positionH>
            <wp:positionV relativeFrom="paragraph">
              <wp:posOffset>635</wp:posOffset>
            </wp:positionV>
            <wp:extent cx="3749040" cy="145542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3749040" cy="1455420"/>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ind w:left="0" w:right="0" w:hanging="0"/>
        <w:jc w:val="center"/>
        <w:rPr/>
      </w:pPr>
      <w:r>
        <w:rPr>
          <w:rFonts w:eastAsia="Times New Roman" w:cs="Times New Roman" w:ascii="Times New Roman" w:hAnsi="Times New Roman"/>
          <w:b/>
          <w:sz w:val="21"/>
        </w:rPr>
        <w:t xml:space="preserve">Figure 4: </w:t>
      </w:r>
      <w:r>
        <w:rPr>
          <w:rFonts w:eastAsia="Times New Roman" w:cs="Times New Roman" w:ascii="Times New Roman" w:hAnsi="Times New Roman"/>
          <w:sz w:val="21"/>
        </w:rPr>
        <w:t>(a) Retrieval metrics for BM25, dense retrieval, and RRF; (b) exact versus semantic F1 by extraction field (n = 76); stated limitation is omitted because it has only n = 4 (see Table 3).</w:t>
      </w:r>
    </w:p>
    <w:p>
      <w:pPr>
        <w:pStyle w:val="Normal"/>
        <w:bidi w:val="0"/>
        <w:ind w:left="0" w:right="0" w:hanging="0"/>
        <w:jc w:val="center"/>
        <w:rPr>
          <w:rFonts w:ascii="Times New Roman" w:hAnsi="Times New Roman" w:eastAsia="Times New Roman" w:cs="Times New Roman"/>
          <w:sz w:val="21"/>
        </w:rPr>
      </w:pPr>
      <w:r>
        <w:rPr>
          <w:rFonts w:eastAsia="Times New Roman" w:cs="Times New Roman" w:ascii="Times New Roman" w:hAnsi="Times New Roman"/>
          <w:sz w:val="21"/>
        </w:rPr>
      </w:r>
    </w:p>
    <w:p>
      <w:pPr>
        <w:pStyle w:val="Normal"/>
        <w:bidi w:val="0"/>
        <w:ind w:left="0" w:right="0" w:hanging="0"/>
        <w:jc w:val="center"/>
        <w:rPr>
          <w:rFonts w:ascii="Times New Roman" w:hAnsi="Times New Roman" w:eastAsia="Times New Roman" w:cs="Times New Roman"/>
          <w:sz w:val="21"/>
        </w:rPr>
      </w:pPr>
      <w:r>
        <w:rPr>
          <w:rFonts w:eastAsia="Times New Roman" w:cs="Times New Roman" w:ascii="Times New Roman" w:hAnsi="Times New Roman"/>
          <w:sz w:val="21"/>
        </w:rPr>
      </w:r>
    </w:p>
    <w:p>
      <w:pPr>
        <w:pStyle w:val="Normal"/>
        <w:bidi w:val="0"/>
        <w:ind w:left="0" w:right="0" w:hanging="0"/>
        <w:jc w:val="center"/>
        <w:rPr>
          <w:rFonts w:ascii="Times New Roman" w:hAnsi="Times New Roman" w:eastAsia="Times New Roman" w:cs="Times New Roman"/>
          <w:sz w:val="21"/>
        </w:rPr>
      </w:pPr>
      <w:r>
        <w:rPr>
          <w:rFonts w:eastAsia="Times New Roman" w:cs="Times New Roman" w:ascii="Times New Roman" w:hAnsi="Times New Roman"/>
          <w:sz w:val="21"/>
        </w:rPr>
      </w:r>
    </w:p>
    <w:p>
      <w:pPr>
        <w:pStyle w:val="Normal"/>
        <w:bidi w:val="0"/>
        <w:ind w:left="0" w:right="0" w:hanging="0"/>
        <w:jc w:val="center"/>
        <w:rPr>
          <w:rFonts w:ascii="Times New Roman" w:hAnsi="Times New Roman" w:eastAsia="Times New Roman" w:cs="Times New Roman"/>
          <w:sz w:val="21"/>
        </w:rPr>
      </w:pPr>
      <w:r>
        <w:rPr>
          <w:rFonts w:eastAsia="Times New Roman" w:cs="Times New Roman" w:ascii="Times New Roman" w:hAnsi="Times New Roman"/>
          <w:sz w:val="21"/>
        </w:rPr>
      </w:r>
    </w:p>
    <w:p>
      <w:pPr>
        <w:pStyle w:val="Normal"/>
        <w:bidi w:val="0"/>
        <w:ind w:left="0" w:right="0" w:hanging="0"/>
        <w:jc w:val="center"/>
        <w:rPr>
          <w:rFonts w:ascii="Times New Roman" w:hAnsi="Times New Roman" w:eastAsia="Times New Roman" w:cs="Times New Roman"/>
          <w:sz w:val="21"/>
        </w:rPr>
      </w:pPr>
      <w:r>
        <w:rPr>
          <w:rFonts w:eastAsia="Times New Roman" w:cs="Times New Roman" w:ascii="Times New Roman" w:hAnsi="Times New Roman"/>
          <w:sz w:val="21"/>
        </w:rPr>
      </w:r>
    </w:p>
    <w:p>
      <w:pPr>
        <w:pStyle w:val="Normal"/>
        <w:bidi w:val="0"/>
        <w:ind w:left="0" w:right="0" w:hanging="0"/>
        <w:jc w:val="center"/>
        <w:rPr>
          <w:rFonts w:ascii="Times New Roman" w:hAnsi="Times New Roman" w:eastAsia="Times New Roman" w:cs="Times New Roman"/>
          <w:sz w:val="21"/>
        </w:rPr>
      </w:pPr>
      <w:r>
        <w:rPr>
          <w:rFonts w:eastAsia="Times New Roman" w:cs="Times New Roman" w:ascii="Times New Roman" w:hAnsi="Times New Roman"/>
          <w:sz w:val="21"/>
        </w:rPr>
      </w:r>
    </w:p>
    <w:p>
      <w:pPr>
        <w:pStyle w:val="Normal"/>
        <w:bidi w:val="0"/>
        <w:ind w:left="0" w:right="0" w:hanging="0"/>
        <w:jc w:val="center"/>
        <w:rPr>
          <w:rFonts w:ascii="Times New Roman" w:hAnsi="Times New Roman" w:eastAsia="Times New Roman" w:cs="Times New Roman"/>
          <w:sz w:val="21"/>
        </w:rPr>
      </w:pPr>
      <w:r>
        <w:rPr>
          <w:rFonts w:eastAsia="Times New Roman" w:cs="Times New Roman" w:ascii="Times New Roman" w:hAnsi="Times New Roman"/>
          <w:sz w:val="21"/>
        </w:rPr>
      </w:r>
    </w:p>
    <w:p>
      <w:pPr>
        <w:pStyle w:val="Normal"/>
        <w:bidi w:val="0"/>
        <w:ind w:left="0" w:right="0" w:hanging="0"/>
        <w:jc w:val="center"/>
        <w:rPr>
          <w:rFonts w:ascii="Times New Roman" w:hAnsi="Times New Roman" w:eastAsia="Times New Roman" w:cs="Times New Roman"/>
          <w:sz w:val="21"/>
        </w:rPr>
      </w:pPr>
      <w:r>
        <w:rPr>
          <w:rFonts w:eastAsia="Times New Roman" w:cs="Times New Roman" w:ascii="Times New Roman" w:hAnsi="Times New Roman"/>
          <w:sz w:val="21"/>
        </w:rPr>
      </w:r>
    </w:p>
    <w:p>
      <w:pPr>
        <w:pStyle w:val="Normal"/>
        <w:bidi w:val="0"/>
        <w:ind w:left="0" w:right="0" w:hanging="0"/>
        <w:jc w:val="center"/>
        <w:rPr>
          <w:rFonts w:ascii="Times New Roman" w:hAnsi="Times New Roman" w:eastAsia="Times New Roman" w:cs="Times New Roman"/>
          <w:sz w:val="21"/>
        </w:rPr>
      </w:pPr>
      <w:r>
        <w:rPr>
          <w:rFonts w:eastAsia="Times New Roman" w:cs="Times New Roman" w:ascii="Times New Roman" w:hAnsi="Times New Roman"/>
          <w:sz w:val="21"/>
        </w:rPr>
      </w:r>
    </w:p>
    <w:p>
      <w:pPr>
        <w:pStyle w:val="Normal"/>
        <w:bidi w:val="0"/>
        <w:ind w:left="0" w:right="0" w:hanging="0"/>
        <w:jc w:val="center"/>
        <w:rPr>
          <w:rFonts w:ascii="Times New Roman" w:hAnsi="Times New Roman" w:eastAsia="Times New Roman" w:cs="Times New Roman"/>
          <w:sz w:val="21"/>
        </w:rPr>
      </w:pPr>
      <w:r>
        <w:rPr>
          <w:rFonts w:eastAsia="Times New Roman" w:cs="Times New Roman" w:ascii="Times New Roman" w:hAnsi="Times New Roman"/>
          <w:sz w:val="21"/>
        </w:rPr>
      </w:r>
    </w:p>
    <w:p>
      <w:pPr>
        <w:pStyle w:val="Normal"/>
        <w:bidi w:val="0"/>
        <w:ind w:left="0" w:right="0" w:hanging="0"/>
        <w:jc w:val="center"/>
        <w:rPr>
          <w:rFonts w:ascii="Times New Roman" w:hAnsi="Times New Roman" w:eastAsia="Times New Roman" w:cs="Times New Roman"/>
          <w:sz w:val="21"/>
        </w:rPr>
      </w:pPr>
      <w:r>
        <w:rPr>
          <w:rFonts w:eastAsia="Times New Roman" w:cs="Times New Roman" w:ascii="Times New Roman" w:hAnsi="Times New Roman"/>
          <w:sz w:val="21"/>
        </w:rPr>
      </w:r>
    </w:p>
    <w:p>
      <w:pPr>
        <w:pStyle w:val="Normal"/>
        <w:bidi w:val="0"/>
        <w:ind w:left="0" w:right="0" w:hanging="0"/>
        <w:jc w:val="left"/>
        <w:rPr/>
      </w:pPr>
      <w:r>
        <w:rPr>
          <w:rFonts w:eastAsia="Times New Roman" w:cs="Times New Roman" w:ascii="Times New Roman" w:hAnsi="Times New Roman"/>
          <w:b/>
          <w:sz w:val="21"/>
        </w:rPr>
        <w:t xml:space="preserve">Table 3: </w:t>
      </w:r>
      <w:r>
        <w:rPr>
          <w:rFonts w:eastAsia="Times New Roman" w:cs="Times New Roman" w:ascii="Times New Roman" w:hAnsi="Times New Roman"/>
          <w:sz w:val="21"/>
        </w:rPr>
        <w:t>Agreement with human annotation (n = 76): exact F1, semantic precision, and recall and F1.</w:t>
      </w:r>
    </w:p>
    <w:p>
      <w:pPr>
        <w:pStyle w:val="Normal"/>
        <w:bidi w:val="0"/>
        <w:ind w:left="0" w:right="0" w:hanging="0"/>
        <w:jc w:val="left"/>
        <w:rPr>
          <w:rFonts w:ascii="Times New Roman" w:hAnsi="Times New Roman" w:eastAsia="Times New Roman" w:cs="Times New Roman"/>
          <w:sz w:val="21"/>
        </w:rPr>
      </w:pPr>
      <w:r>
        <w:rPr>
          <w:rFonts w:eastAsia="Times New Roman" w:cs="Times New Roman" w:ascii="Times New Roman" w:hAnsi="Times New Roman"/>
          <w:sz w:val="21"/>
        </w:rPr>
      </w:r>
    </w:p>
    <w:tbl>
      <w:tblPr>
        <w:tblW w:w="9361" w:type="dxa"/>
        <w:jc w:val="left"/>
        <w:tblInd w:w="-109" w:type="dxa"/>
        <w:tblLayout w:type="fixed"/>
        <w:tblCellMar>
          <w:top w:w="0" w:type="dxa"/>
          <w:left w:w="108" w:type="dxa"/>
          <w:bottom w:w="0" w:type="dxa"/>
          <w:right w:w="108" w:type="dxa"/>
        </w:tblCellMar>
      </w:tblPr>
      <w:tblGrid>
        <w:gridCol w:w="1816"/>
        <w:gridCol w:w="936"/>
        <w:gridCol w:w="1352"/>
        <w:gridCol w:w="1244"/>
        <w:gridCol w:w="2460"/>
        <w:gridCol w:w="1552"/>
      </w:tblGrid>
      <w:tr>
        <w:trPr/>
        <w:tc>
          <w:tcPr>
            <w:tcW w:w="1816"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tabs>
                <w:tab w:val="clear" w:pos="709"/>
              </w:tabs>
              <w:bidi w:val="0"/>
              <w:ind w:left="0" w:right="0" w:hanging="0"/>
              <w:jc w:val="left"/>
              <w:rPr/>
            </w:pPr>
            <w:r>
              <w:rPr>
                <w:rFonts w:eastAsia="Times New Roman" w:cs="Times New Roman" w:ascii="Times New Roman" w:hAnsi="Times New Roman"/>
                <w:b/>
                <w:sz w:val="21"/>
              </w:rPr>
              <w:t>Field</w:t>
            </w:r>
          </w:p>
          <w:p>
            <w:pPr>
              <w:pStyle w:val="Normal"/>
              <w:widowControl w:val="false"/>
              <w:tabs>
                <w:tab w:val="clear" w:pos="709"/>
              </w:tabs>
              <w:bidi w:val="0"/>
              <w:ind w:left="0" w:right="0" w:hanging="0"/>
              <w:jc w:val="left"/>
              <w:rPr/>
            </w:pPr>
            <w:r>
              <w:rPr/>
            </w:r>
          </w:p>
        </w:tc>
        <w:tc>
          <w:tcPr>
            <w:tcW w:w="936"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tabs>
                <w:tab w:val="clear" w:pos="709"/>
              </w:tabs>
              <w:bidi w:val="0"/>
              <w:ind w:left="0" w:right="0" w:hanging="0"/>
              <w:jc w:val="center"/>
              <w:rPr/>
            </w:pPr>
            <w:r>
              <w:rPr>
                <w:rFonts w:eastAsia="Times New Roman" w:cs="Times New Roman" w:ascii="Times New Roman" w:hAnsi="Times New Roman"/>
                <w:b/>
                <w:sz w:val="21"/>
              </w:rPr>
              <w:t>Exact F1</w:t>
            </w:r>
          </w:p>
          <w:p>
            <w:pPr>
              <w:pStyle w:val="Normal"/>
              <w:widowControl w:val="false"/>
              <w:tabs>
                <w:tab w:val="clear" w:pos="709"/>
              </w:tabs>
              <w:bidi w:val="0"/>
              <w:ind w:left="0" w:right="0" w:hanging="0"/>
              <w:jc w:val="center"/>
              <w:rPr/>
            </w:pPr>
            <w:r>
              <w:rPr/>
            </w:r>
          </w:p>
        </w:tc>
        <w:tc>
          <w:tcPr>
            <w:tcW w:w="1352"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tabs>
                <w:tab w:val="clear" w:pos="709"/>
              </w:tabs>
              <w:bidi w:val="0"/>
              <w:ind w:left="0" w:right="0" w:hanging="0"/>
              <w:jc w:val="center"/>
              <w:rPr/>
            </w:pPr>
            <w:r>
              <w:rPr>
                <w:rFonts w:eastAsia="Times New Roman" w:cs="Times New Roman" w:ascii="Times New Roman" w:hAnsi="Times New Roman"/>
                <w:b/>
                <w:sz w:val="21"/>
              </w:rPr>
              <w:t>Sem. precision</w:t>
            </w:r>
          </w:p>
          <w:p>
            <w:pPr>
              <w:pStyle w:val="Normal"/>
              <w:widowControl w:val="false"/>
              <w:tabs>
                <w:tab w:val="clear" w:pos="709"/>
              </w:tabs>
              <w:bidi w:val="0"/>
              <w:ind w:left="0" w:right="0" w:hanging="0"/>
              <w:jc w:val="center"/>
              <w:rPr/>
            </w:pPr>
            <w:r>
              <w:rPr/>
            </w:r>
          </w:p>
        </w:tc>
        <w:tc>
          <w:tcPr>
            <w:tcW w:w="1244"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tabs>
                <w:tab w:val="clear" w:pos="709"/>
              </w:tabs>
              <w:bidi w:val="0"/>
              <w:ind w:left="0" w:right="0" w:hanging="0"/>
              <w:jc w:val="center"/>
              <w:rPr/>
            </w:pPr>
            <w:r>
              <w:rPr>
                <w:rFonts w:eastAsia="Times New Roman" w:cs="Times New Roman" w:ascii="Times New Roman" w:hAnsi="Times New Roman"/>
                <w:b/>
                <w:sz w:val="21"/>
              </w:rPr>
              <w:t>Sem. recall</w:t>
            </w:r>
          </w:p>
          <w:p>
            <w:pPr>
              <w:pStyle w:val="Normal"/>
              <w:widowControl w:val="false"/>
              <w:tabs>
                <w:tab w:val="clear" w:pos="709"/>
              </w:tabs>
              <w:bidi w:val="0"/>
              <w:ind w:left="0" w:right="0" w:hanging="0"/>
              <w:jc w:val="center"/>
              <w:rPr/>
            </w:pPr>
            <w:r>
              <w:rPr/>
            </w:r>
          </w:p>
        </w:tc>
        <w:tc>
          <w:tcPr>
            <w:tcW w:w="2460"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tabs>
                <w:tab w:val="clear" w:pos="709"/>
              </w:tabs>
              <w:bidi w:val="0"/>
              <w:ind w:left="0" w:right="0" w:hanging="0"/>
              <w:jc w:val="center"/>
              <w:rPr/>
            </w:pPr>
            <w:r>
              <w:rPr>
                <w:rFonts w:eastAsia="Times New Roman" w:cs="Times New Roman" w:ascii="Times New Roman" w:hAnsi="Times New Roman"/>
                <w:b/>
                <w:sz w:val="21"/>
              </w:rPr>
              <w:t>Sem. F1 [95% CI]</w:t>
            </w:r>
          </w:p>
          <w:p>
            <w:pPr>
              <w:pStyle w:val="Normal"/>
              <w:widowControl w:val="false"/>
              <w:tabs>
                <w:tab w:val="clear" w:pos="709"/>
              </w:tabs>
              <w:bidi w:val="0"/>
              <w:ind w:left="0" w:right="0" w:hanging="0"/>
              <w:jc w:val="center"/>
              <w:rPr/>
            </w:pPr>
            <w:r>
              <w:rPr/>
            </w:r>
          </w:p>
        </w:tc>
        <w:tc>
          <w:tcPr>
            <w:tcW w:w="1552"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tabs>
                <w:tab w:val="clear" w:pos="709"/>
              </w:tabs>
              <w:bidi w:val="0"/>
              <w:ind w:left="0" w:right="0" w:hanging="0"/>
              <w:jc w:val="center"/>
              <w:rPr/>
            </w:pPr>
            <w:r>
              <w:rPr>
                <w:rFonts w:eastAsia="Times New Roman" w:cs="Times New Roman" w:ascii="Times New Roman" w:hAnsi="Times New Roman"/>
                <w:b/>
                <w:sz w:val="21"/>
              </w:rPr>
              <w:t>Gold positives</w:t>
            </w:r>
          </w:p>
          <w:p>
            <w:pPr>
              <w:pStyle w:val="Normal"/>
              <w:widowControl w:val="false"/>
              <w:tabs>
                <w:tab w:val="clear" w:pos="709"/>
              </w:tabs>
              <w:bidi w:val="0"/>
              <w:ind w:left="0" w:right="0" w:hanging="0"/>
              <w:jc w:val="center"/>
              <w:rPr/>
            </w:pPr>
            <w:r>
              <w:rPr/>
            </w:r>
          </w:p>
        </w:tc>
      </w:tr>
      <w:tr>
        <w:trPr/>
        <w:tc>
          <w:tcPr>
            <w:tcW w:w="1816"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left"/>
              <w:rPr/>
            </w:pPr>
            <w:r>
              <w:rPr>
                <w:rFonts w:eastAsia="Times New Roman" w:cs="Times New Roman" w:ascii="Times New Roman" w:hAnsi="Times New Roman"/>
                <w:sz w:val="21"/>
              </w:rPr>
              <w:t>Task</w:t>
            </w:r>
          </w:p>
          <w:p>
            <w:pPr>
              <w:pStyle w:val="Normal"/>
              <w:widowControl w:val="false"/>
              <w:bidi w:val="0"/>
              <w:ind w:left="0" w:right="0" w:hanging="0"/>
              <w:jc w:val="left"/>
              <w:rPr/>
            </w:pPr>
            <w:r>
              <w:rPr/>
            </w:r>
          </w:p>
        </w:tc>
        <w:tc>
          <w:tcPr>
            <w:tcW w:w="936"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0.329</w:t>
            </w:r>
          </w:p>
          <w:p>
            <w:pPr>
              <w:pStyle w:val="Normal"/>
              <w:widowControl w:val="false"/>
              <w:bidi w:val="0"/>
              <w:ind w:left="0" w:right="0" w:hanging="0"/>
              <w:jc w:val="center"/>
              <w:rPr/>
            </w:pPr>
            <w:r>
              <w:rPr/>
            </w:r>
          </w:p>
        </w:tc>
        <w:tc>
          <w:tcPr>
            <w:tcW w:w="1352"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0.984</w:t>
            </w:r>
          </w:p>
          <w:p>
            <w:pPr>
              <w:pStyle w:val="Normal"/>
              <w:widowControl w:val="false"/>
              <w:bidi w:val="0"/>
              <w:ind w:left="0" w:right="0" w:hanging="0"/>
              <w:jc w:val="center"/>
              <w:rPr/>
            </w:pPr>
            <w:r>
              <w:rPr/>
            </w:r>
          </w:p>
        </w:tc>
        <w:tc>
          <w:tcPr>
            <w:tcW w:w="1244"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0.829</w:t>
            </w:r>
          </w:p>
          <w:p>
            <w:pPr>
              <w:pStyle w:val="Normal"/>
              <w:widowControl w:val="false"/>
              <w:bidi w:val="0"/>
              <w:ind w:left="0" w:right="0" w:hanging="0"/>
              <w:jc w:val="center"/>
              <w:rPr/>
            </w:pPr>
            <w:r>
              <w:rPr/>
            </w:r>
          </w:p>
        </w:tc>
        <w:tc>
          <w:tcPr>
            <w:tcW w:w="2460"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0.900 [0.840, 0.952]</w:t>
            </w:r>
          </w:p>
          <w:p>
            <w:pPr>
              <w:pStyle w:val="Normal"/>
              <w:widowControl w:val="false"/>
              <w:bidi w:val="0"/>
              <w:ind w:left="0" w:right="0" w:hanging="0"/>
              <w:jc w:val="center"/>
              <w:rPr/>
            </w:pPr>
            <w:r>
              <w:rPr/>
            </w:r>
          </w:p>
        </w:tc>
        <w:tc>
          <w:tcPr>
            <w:tcW w:w="1552"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76</w:t>
            </w:r>
          </w:p>
          <w:p>
            <w:pPr>
              <w:pStyle w:val="Normal"/>
              <w:widowControl w:val="false"/>
              <w:bidi w:val="0"/>
              <w:ind w:left="0" w:right="0" w:hanging="0"/>
              <w:jc w:val="center"/>
              <w:rPr/>
            </w:pPr>
            <w:r>
              <w:rPr/>
            </w:r>
          </w:p>
        </w:tc>
      </w:tr>
      <w:tr>
        <w:trPr/>
        <w:tc>
          <w:tcPr>
            <w:tcW w:w="1816"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left"/>
              <w:rPr/>
            </w:pPr>
            <w:r>
              <w:rPr>
                <w:rFonts w:eastAsia="Times New Roman" w:cs="Times New Roman" w:ascii="Times New Roman" w:hAnsi="Times New Roman"/>
                <w:sz w:val="21"/>
              </w:rPr>
              <w:t>Method</w:t>
            </w:r>
          </w:p>
          <w:p>
            <w:pPr>
              <w:pStyle w:val="Normal"/>
              <w:widowControl w:val="false"/>
              <w:bidi w:val="0"/>
              <w:ind w:left="0" w:right="0" w:hanging="0"/>
              <w:jc w:val="left"/>
              <w:rPr/>
            </w:pPr>
            <w:r>
              <w:rPr/>
            </w:r>
          </w:p>
        </w:tc>
        <w:tc>
          <w:tcPr>
            <w:tcW w:w="936"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0.000</w:t>
            </w:r>
          </w:p>
          <w:p>
            <w:pPr>
              <w:pStyle w:val="Normal"/>
              <w:widowControl w:val="false"/>
              <w:bidi w:val="0"/>
              <w:ind w:left="0" w:right="0" w:hanging="0"/>
              <w:jc w:val="center"/>
              <w:rPr/>
            </w:pPr>
            <w:r>
              <w:rPr/>
            </w:r>
          </w:p>
        </w:tc>
        <w:tc>
          <w:tcPr>
            <w:tcW w:w="1352"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0.825</w:t>
            </w:r>
          </w:p>
          <w:p>
            <w:pPr>
              <w:pStyle w:val="Normal"/>
              <w:widowControl w:val="false"/>
              <w:bidi w:val="0"/>
              <w:ind w:left="0" w:right="0" w:hanging="0"/>
              <w:jc w:val="center"/>
              <w:rPr/>
            </w:pPr>
            <w:r>
              <w:rPr/>
            </w:r>
          </w:p>
        </w:tc>
        <w:tc>
          <w:tcPr>
            <w:tcW w:w="1244"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0.684</w:t>
            </w:r>
          </w:p>
          <w:p>
            <w:pPr>
              <w:pStyle w:val="Normal"/>
              <w:widowControl w:val="false"/>
              <w:bidi w:val="0"/>
              <w:ind w:left="0" w:right="0" w:hanging="0"/>
              <w:jc w:val="center"/>
              <w:rPr/>
            </w:pPr>
            <w:r>
              <w:rPr/>
            </w:r>
          </w:p>
        </w:tc>
        <w:tc>
          <w:tcPr>
            <w:tcW w:w="2460"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0.748 [0.647, 0.839]</w:t>
            </w:r>
          </w:p>
          <w:p>
            <w:pPr>
              <w:pStyle w:val="Normal"/>
              <w:widowControl w:val="false"/>
              <w:bidi w:val="0"/>
              <w:ind w:left="0" w:right="0" w:hanging="0"/>
              <w:jc w:val="center"/>
              <w:rPr/>
            </w:pPr>
            <w:r>
              <w:rPr/>
            </w:r>
          </w:p>
        </w:tc>
        <w:tc>
          <w:tcPr>
            <w:tcW w:w="1552"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76</w:t>
            </w:r>
          </w:p>
          <w:p>
            <w:pPr>
              <w:pStyle w:val="Normal"/>
              <w:widowControl w:val="false"/>
              <w:bidi w:val="0"/>
              <w:ind w:left="0" w:right="0" w:hanging="0"/>
              <w:jc w:val="center"/>
              <w:rPr/>
            </w:pPr>
            <w:r>
              <w:rPr/>
            </w:r>
          </w:p>
        </w:tc>
      </w:tr>
      <w:tr>
        <w:trPr/>
        <w:tc>
          <w:tcPr>
            <w:tcW w:w="1816"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left"/>
              <w:rPr/>
            </w:pPr>
            <w:r>
              <w:rPr>
                <w:rFonts w:eastAsia="Times New Roman" w:cs="Times New Roman" w:ascii="Times New Roman" w:hAnsi="Times New Roman"/>
                <w:sz w:val="21"/>
              </w:rPr>
              <w:t>Dataset</w:t>
            </w:r>
          </w:p>
          <w:p>
            <w:pPr>
              <w:pStyle w:val="Normal"/>
              <w:widowControl w:val="false"/>
              <w:bidi w:val="0"/>
              <w:ind w:left="0" w:right="0" w:hanging="0"/>
              <w:jc w:val="left"/>
              <w:rPr/>
            </w:pPr>
            <w:r>
              <w:rPr/>
            </w:r>
          </w:p>
        </w:tc>
        <w:tc>
          <w:tcPr>
            <w:tcW w:w="936"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0.039</w:t>
            </w:r>
          </w:p>
          <w:p>
            <w:pPr>
              <w:pStyle w:val="Normal"/>
              <w:widowControl w:val="false"/>
              <w:bidi w:val="0"/>
              <w:ind w:left="0" w:right="0" w:hanging="0"/>
              <w:jc w:val="center"/>
              <w:rPr/>
            </w:pPr>
            <w:r>
              <w:rPr/>
            </w:r>
          </w:p>
        </w:tc>
        <w:tc>
          <w:tcPr>
            <w:tcW w:w="1352"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0.949</w:t>
            </w:r>
          </w:p>
          <w:p>
            <w:pPr>
              <w:pStyle w:val="Normal"/>
              <w:widowControl w:val="false"/>
              <w:bidi w:val="0"/>
              <w:ind w:left="0" w:right="0" w:hanging="0"/>
              <w:jc w:val="center"/>
              <w:rPr/>
            </w:pPr>
            <w:r>
              <w:rPr/>
            </w:r>
          </w:p>
        </w:tc>
        <w:tc>
          <w:tcPr>
            <w:tcW w:w="1244"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0.587</w:t>
            </w:r>
          </w:p>
          <w:p>
            <w:pPr>
              <w:pStyle w:val="Normal"/>
              <w:widowControl w:val="false"/>
              <w:bidi w:val="0"/>
              <w:ind w:left="0" w:right="0" w:hanging="0"/>
              <w:jc w:val="center"/>
              <w:rPr/>
            </w:pPr>
            <w:r>
              <w:rPr/>
            </w:r>
          </w:p>
        </w:tc>
        <w:tc>
          <w:tcPr>
            <w:tcW w:w="2460"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0.725 [0.619, 0.817]</w:t>
            </w:r>
          </w:p>
          <w:p>
            <w:pPr>
              <w:pStyle w:val="Normal"/>
              <w:widowControl w:val="false"/>
              <w:bidi w:val="0"/>
              <w:ind w:left="0" w:right="0" w:hanging="0"/>
              <w:jc w:val="center"/>
              <w:rPr/>
            </w:pPr>
            <w:r>
              <w:rPr/>
            </w:r>
          </w:p>
        </w:tc>
        <w:tc>
          <w:tcPr>
            <w:tcW w:w="1552"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63</w:t>
            </w:r>
          </w:p>
          <w:p>
            <w:pPr>
              <w:pStyle w:val="Normal"/>
              <w:widowControl w:val="false"/>
              <w:bidi w:val="0"/>
              <w:ind w:left="0" w:right="0" w:hanging="0"/>
              <w:jc w:val="center"/>
              <w:rPr/>
            </w:pPr>
            <w:r>
              <w:rPr/>
            </w:r>
          </w:p>
        </w:tc>
      </w:tr>
      <w:tr>
        <w:trPr/>
        <w:tc>
          <w:tcPr>
            <w:tcW w:w="1816"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left"/>
              <w:rPr/>
            </w:pPr>
            <w:r>
              <w:rPr>
                <w:rFonts w:eastAsia="Times New Roman" w:cs="Times New Roman" w:ascii="Times New Roman" w:hAnsi="Times New Roman"/>
                <w:sz w:val="21"/>
              </w:rPr>
              <w:t>Metric</w:t>
            </w:r>
          </w:p>
          <w:p>
            <w:pPr>
              <w:pStyle w:val="Normal"/>
              <w:widowControl w:val="false"/>
              <w:bidi w:val="0"/>
              <w:ind w:left="0" w:right="0" w:hanging="0"/>
              <w:jc w:val="left"/>
              <w:rPr/>
            </w:pPr>
            <w:r>
              <w:rPr/>
            </w:r>
          </w:p>
        </w:tc>
        <w:tc>
          <w:tcPr>
            <w:tcW w:w="936"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0.059</w:t>
            </w:r>
          </w:p>
          <w:p>
            <w:pPr>
              <w:pStyle w:val="Normal"/>
              <w:widowControl w:val="false"/>
              <w:bidi w:val="0"/>
              <w:ind w:left="0" w:right="0" w:hanging="0"/>
              <w:jc w:val="center"/>
              <w:rPr/>
            </w:pPr>
            <w:r>
              <w:rPr/>
            </w:r>
          </w:p>
        </w:tc>
        <w:tc>
          <w:tcPr>
            <w:tcW w:w="1352"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0.839</w:t>
            </w:r>
          </w:p>
          <w:p>
            <w:pPr>
              <w:pStyle w:val="Normal"/>
              <w:widowControl w:val="false"/>
              <w:bidi w:val="0"/>
              <w:ind w:left="0" w:right="0" w:hanging="0"/>
              <w:jc w:val="center"/>
              <w:rPr/>
            </w:pPr>
            <w:r>
              <w:rPr/>
            </w:r>
          </w:p>
        </w:tc>
        <w:tc>
          <w:tcPr>
            <w:tcW w:w="1244"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0.703</w:t>
            </w:r>
          </w:p>
          <w:p>
            <w:pPr>
              <w:pStyle w:val="Normal"/>
              <w:widowControl w:val="false"/>
              <w:bidi w:val="0"/>
              <w:ind w:left="0" w:right="0" w:hanging="0"/>
              <w:jc w:val="center"/>
              <w:rPr/>
            </w:pPr>
            <w:r>
              <w:rPr/>
            </w:r>
          </w:p>
        </w:tc>
        <w:tc>
          <w:tcPr>
            <w:tcW w:w="2460"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0.765 [0.638, 0.868]</w:t>
            </w:r>
          </w:p>
          <w:p>
            <w:pPr>
              <w:pStyle w:val="Normal"/>
              <w:widowControl w:val="false"/>
              <w:bidi w:val="0"/>
              <w:ind w:left="0" w:right="0" w:hanging="0"/>
              <w:jc w:val="center"/>
              <w:rPr/>
            </w:pPr>
            <w:r>
              <w:rPr/>
            </w:r>
          </w:p>
        </w:tc>
        <w:tc>
          <w:tcPr>
            <w:tcW w:w="1552"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37</w:t>
            </w:r>
          </w:p>
          <w:p>
            <w:pPr>
              <w:pStyle w:val="Normal"/>
              <w:widowControl w:val="false"/>
              <w:bidi w:val="0"/>
              <w:ind w:left="0" w:right="0" w:hanging="0"/>
              <w:jc w:val="center"/>
              <w:rPr/>
            </w:pPr>
            <w:r>
              <w:rPr/>
            </w:r>
          </w:p>
        </w:tc>
      </w:tr>
      <w:tr>
        <w:trPr/>
        <w:tc>
          <w:tcPr>
            <w:tcW w:w="1816"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left"/>
              <w:rPr/>
            </w:pPr>
            <w:r>
              <w:rPr>
                <w:rFonts w:eastAsia="Times New Roman" w:cs="Times New Roman" w:ascii="Times New Roman" w:hAnsi="Times New Roman"/>
                <w:sz w:val="21"/>
              </w:rPr>
              <w:t>Setting</w:t>
            </w:r>
          </w:p>
          <w:p>
            <w:pPr>
              <w:pStyle w:val="Normal"/>
              <w:widowControl w:val="false"/>
              <w:bidi w:val="0"/>
              <w:ind w:left="0" w:right="0" w:hanging="0"/>
              <w:jc w:val="left"/>
              <w:rPr/>
            </w:pPr>
            <w:r>
              <w:rPr/>
            </w:r>
          </w:p>
        </w:tc>
        <w:tc>
          <w:tcPr>
            <w:tcW w:w="936"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0.018</w:t>
            </w:r>
          </w:p>
          <w:p>
            <w:pPr>
              <w:pStyle w:val="Normal"/>
              <w:widowControl w:val="false"/>
              <w:bidi w:val="0"/>
              <w:ind w:left="0" w:right="0" w:hanging="0"/>
              <w:jc w:val="center"/>
              <w:rPr/>
            </w:pPr>
            <w:r>
              <w:rPr/>
            </w:r>
          </w:p>
        </w:tc>
        <w:tc>
          <w:tcPr>
            <w:tcW w:w="1352"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0.778</w:t>
            </w:r>
          </w:p>
          <w:p>
            <w:pPr>
              <w:pStyle w:val="Normal"/>
              <w:widowControl w:val="false"/>
              <w:bidi w:val="0"/>
              <w:ind w:left="0" w:right="0" w:hanging="0"/>
              <w:jc w:val="center"/>
              <w:rPr/>
            </w:pPr>
            <w:r>
              <w:rPr/>
            </w:r>
          </w:p>
        </w:tc>
        <w:tc>
          <w:tcPr>
            <w:tcW w:w="1244"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0.368</w:t>
            </w:r>
          </w:p>
          <w:p>
            <w:pPr>
              <w:pStyle w:val="Normal"/>
              <w:widowControl w:val="false"/>
              <w:bidi w:val="0"/>
              <w:ind w:left="0" w:right="0" w:hanging="0"/>
              <w:jc w:val="center"/>
              <w:rPr/>
            </w:pPr>
            <w:r>
              <w:rPr/>
            </w:r>
          </w:p>
        </w:tc>
        <w:tc>
          <w:tcPr>
            <w:tcW w:w="2460"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0.500 [0.377, 0.614]</w:t>
            </w:r>
          </w:p>
          <w:p>
            <w:pPr>
              <w:pStyle w:val="Normal"/>
              <w:widowControl w:val="false"/>
              <w:bidi w:val="0"/>
              <w:ind w:left="0" w:right="0" w:hanging="0"/>
              <w:jc w:val="center"/>
              <w:rPr/>
            </w:pPr>
            <w:r>
              <w:rPr/>
            </w:r>
          </w:p>
        </w:tc>
        <w:tc>
          <w:tcPr>
            <w:tcW w:w="1552"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76</w:t>
            </w:r>
          </w:p>
          <w:p>
            <w:pPr>
              <w:pStyle w:val="Normal"/>
              <w:widowControl w:val="false"/>
              <w:bidi w:val="0"/>
              <w:ind w:left="0" w:right="0" w:hanging="0"/>
              <w:jc w:val="center"/>
              <w:rPr/>
            </w:pPr>
            <w:r>
              <w:rPr/>
            </w:r>
          </w:p>
        </w:tc>
      </w:tr>
      <w:tr>
        <w:trPr/>
        <w:tc>
          <w:tcPr>
            <w:tcW w:w="1816"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left"/>
              <w:rPr/>
            </w:pPr>
            <w:r>
              <w:rPr>
                <w:rFonts w:eastAsia="Times New Roman" w:cs="Times New Roman" w:ascii="Times New Roman" w:hAnsi="Times New Roman"/>
                <w:sz w:val="21"/>
              </w:rPr>
              <w:t>Stated limitation</w:t>
            </w:r>
          </w:p>
          <w:p>
            <w:pPr>
              <w:pStyle w:val="Normal"/>
              <w:widowControl w:val="false"/>
              <w:bidi w:val="0"/>
              <w:ind w:left="0" w:right="0" w:hanging="0"/>
              <w:jc w:val="left"/>
              <w:rPr/>
            </w:pPr>
            <w:r>
              <w:rPr/>
            </w:r>
          </w:p>
        </w:tc>
        <w:tc>
          <w:tcPr>
            <w:tcW w:w="936"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0.091</w:t>
            </w:r>
          </w:p>
          <w:p>
            <w:pPr>
              <w:pStyle w:val="Normal"/>
              <w:widowControl w:val="false"/>
              <w:bidi w:val="0"/>
              <w:ind w:left="0" w:right="0" w:hanging="0"/>
              <w:jc w:val="center"/>
              <w:rPr/>
            </w:pPr>
            <w:r>
              <w:rPr/>
            </w:r>
          </w:p>
        </w:tc>
        <w:tc>
          <w:tcPr>
            <w:tcW w:w="1352"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w:t>
            </w:r>
          </w:p>
          <w:p>
            <w:pPr>
              <w:pStyle w:val="Normal"/>
              <w:widowControl w:val="false"/>
              <w:bidi w:val="0"/>
              <w:ind w:left="0" w:right="0" w:hanging="0"/>
              <w:jc w:val="center"/>
              <w:rPr/>
            </w:pPr>
            <w:r>
              <w:rPr/>
            </w:r>
          </w:p>
        </w:tc>
        <w:tc>
          <w:tcPr>
            <w:tcW w:w="1244"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w:t>
            </w:r>
          </w:p>
          <w:p>
            <w:pPr>
              <w:pStyle w:val="Normal"/>
              <w:widowControl w:val="false"/>
              <w:bidi w:val="0"/>
              <w:ind w:left="0" w:right="0" w:hanging="0"/>
              <w:jc w:val="center"/>
              <w:rPr/>
            </w:pPr>
            <w:r>
              <w:rPr/>
            </w:r>
          </w:p>
        </w:tc>
        <w:tc>
          <w:tcPr>
            <w:tcW w:w="2460"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insufficient data</w:t>
            </w:r>
          </w:p>
          <w:p>
            <w:pPr>
              <w:pStyle w:val="Normal"/>
              <w:widowControl w:val="false"/>
              <w:bidi w:val="0"/>
              <w:ind w:left="0" w:right="0" w:hanging="0"/>
              <w:jc w:val="center"/>
              <w:rPr/>
            </w:pPr>
            <w:r>
              <w:rPr/>
            </w:r>
          </w:p>
        </w:tc>
        <w:tc>
          <w:tcPr>
            <w:tcW w:w="1552"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4</w:t>
            </w:r>
          </w:p>
          <w:p>
            <w:pPr>
              <w:pStyle w:val="Normal"/>
              <w:widowControl w:val="false"/>
              <w:bidi w:val="0"/>
              <w:ind w:left="0" w:right="0" w:hanging="0"/>
              <w:jc w:val="center"/>
              <w:rPr/>
            </w:pPr>
            <w:r>
              <w:rPr/>
            </w:r>
          </w:p>
        </w:tc>
      </w:tr>
      <w:tr>
        <w:trPr/>
        <w:tc>
          <w:tcPr>
            <w:tcW w:w="1816"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left"/>
              <w:rPr/>
            </w:pPr>
            <w:r>
              <w:rPr>
                <w:rFonts w:eastAsia="Times New Roman" w:cs="Times New Roman" w:ascii="Times New Roman" w:hAnsi="Times New Roman"/>
                <w:sz w:val="21"/>
              </w:rPr>
              <w:t>Stated future work</w:t>
            </w:r>
          </w:p>
          <w:p>
            <w:pPr>
              <w:pStyle w:val="Normal"/>
              <w:widowControl w:val="false"/>
              <w:bidi w:val="0"/>
              <w:ind w:left="0" w:right="0" w:hanging="0"/>
              <w:jc w:val="left"/>
              <w:rPr/>
            </w:pPr>
            <w:r>
              <w:rPr/>
            </w:r>
          </w:p>
        </w:tc>
        <w:tc>
          <w:tcPr>
            <w:tcW w:w="936"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0.000</w:t>
            </w:r>
          </w:p>
          <w:p>
            <w:pPr>
              <w:pStyle w:val="Normal"/>
              <w:widowControl w:val="false"/>
              <w:bidi w:val="0"/>
              <w:ind w:left="0" w:right="0" w:hanging="0"/>
              <w:jc w:val="center"/>
              <w:rPr/>
            </w:pPr>
            <w:r>
              <w:rPr/>
            </w:r>
          </w:p>
        </w:tc>
        <w:tc>
          <w:tcPr>
            <w:tcW w:w="1352"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1.000</w:t>
            </w:r>
          </w:p>
          <w:p>
            <w:pPr>
              <w:pStyle w:val="Normal"/>
              <w:widowControl w:val="false"/>
              <w:bidi w:val="0"/>
              <w:ind w:left="0" w:right="0" w:hanging="0"/>
              <w:jc w:val="center"/>
              <w:rPr/>
            </w:pPr>
            <w:r>
              <w:rPr/>
            </w:r>
          </w:p>
        </w:tc>
        <w:tc>
          <w:tcPr>
            <w:tcW w:w="1244"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0.833</w:t>
            </w:r>
          </w:p>
          <w:p>
            <w:pPr>
              <w:pStyle w:val="Normal"/>
              <w:widowControl w:val="false"/>
              <w:bidi w:val="0"/>
              <w:ind w:left="0" w:right="0" w:hanging="0"/>
              <w:jc w:val="center"/>
              <w:rPr/>
            </w:pPr>
            <w:r>
              <w:rPr/>
            </w:r>
          </w:p>
        </w:tc>
        <w:tc>
          <w:tcPr>
            <w:tcW w:w="2460"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0.909 [0.667, 1.000]</w:t>
            </w:r>
          </w:p>
          <w:p>
            <w:pPr>
              <w:pStyle w:val="Normal"/>
              <w:widowControl w:val="false"/>
              <w:bidi w:val="0"/>
              <w:ind w:left="0" w:right="0" w:hanging="0"/>
              <w:jc w:val="center"/>
              <w:rPr/>
            </w:pPr>
            <w:r>
              <w:rPr/>
            </w:r>
          </w:p>
        </w:tc>
        <w:tc>
          <w:tcPr>
            <w:tcW w:w="1552" w:type="dxa"/>
            <w:tcBorders>
              <w:top w:val="single" w:sz="4" w:space="0" w:color="000000"/>
              <w:left w:val="single" w:sz="4" w:space="0" w:color="000000"/>
              <w:bottom w:val="single" w:sz="4" w:space="0" w:color="000000"/>
              <w:right w:val="single" w:sz="4" w:space="0" w:color="000000"/>
            </w:tcBorders>
            <w:shd w:color="auto" w:fill="FFFFFF"/>
          </w:tcPr>
          <w:p>
            <w:pPr>
              <w:pStyle w:val="Normal"/>
              <w:widowControl w:val="false"/>
              <w:bidi w:val="0"/>
              <w:ind w:left="0" w:right="0" w:hanging="0"/>
              <w:jc w:val="center"/>
              <w:rPr/>
            </w:pPr>
            <w:r>
              <w:rPr>
                <w:rFonts w:eastAsia="Times New Roman" w:cs="Times New Roman" w:ascii="Times New Roman" w:hAnsi="Times New Roman"/>
                <w:sz w:val="21"/>
              </w:rPr>
              <w:t>6</w:t>
            </w:r>
          </w:p>
          <w:p>
            <w:pPr>
              <w:pStyle w:val="Normal"/>
              <w:widowControl w:val="false"/>
              <w:bidi w:val="0"/>
              <w:ind w:left="0" w:right="0" w:hanging="0"/>
              <w:jc w:val="center"/>
              <w:rPr/>
            </w:pPr>
            <w:r>
              <w:rPr/>
            </w:r>
          </w:p>
        </w:tc>
      </w:tr>
    </w:tbl>
    <w:p>
      <w:pPr>
        <w:pStyle w:val="Normal"/>
        <w:bidi w:val="0"/>
        <w:jc w:val="left"/>
        <w:rPr/>
      </w:pPr>
      <w:r>
        <w:rPr/>
      </w:r>
    </w:p>
    <w:p>
      <w:pPr>
        <w:pStyle w:val="Normal"/>
        <w:bidi w:val="0"/>
        <w:jc w:val="left"/>
        <w:rPr/>
      </w:pPr>
      <w:r>
        <w:rPr>
          <w:b/>
          <w:bCs/>
        </w:rPr>
        <w:t xml:space="preserve">4.5 Human validation. </w:t>
      </w:r>
      <w:r>
        <w:rPr/>
        <w:t>Valid output existed for seventy</w:t>
        <w:noBreakHyphen/>
        <w:t>one of seventy</w:t>
        <w:noBreakHyphen/>
        <w:t>six papers and the other five were counted as empty predictions. Paper</w:t>
        <w:noBreakHyphen/>
        <w:t>type F1 equals 0.883 (n = 75; one library paper unmapped). Include</w:t>
        <w:noBreakHyphen/>
        <w:t>in</w:t>
        <w:noBreakHyphen/>
        <w:t>counts F1 equals 0.905. Exact matching scored all method predictions as mismatches (F1 = 0.000) even though there were paraphrases and acronyms that were supported by the source. Semantic matching gave a score of 0.748 (Table 3; Figure 4b). Setting had the performance with a semantic recall of 0.368. The stated limitation had four positive annotations, which means there was not enough data.</w:t>
      </w:r>
    </w:p>
    <w:p>
      <w:pPr>
        <w:pStyle w:val="Normal"/>
        <w:bidi w:val="0"/>
        <w:jc w:val="left"/>
        <w:rPr/>
      </w:pPr>
      <w:r>
        <w:rPr/>
      </w:r>
    </w:p>
    <w:p>
      <w:pPr>
        <w:pStyle w:val="Normal"/>
        <w:bidi w:val="0"/>
        <w:jc w:val="left"/>
        <w:rPr/>
      </w:pPr>
      <w:r>
        <w:rPr>
          <w:b/>
          <w:bCs/>
        </w:rPr>
        <w:t>4.6 Sparsity testing.</w:t>
      </w:r>
      <w:r>
        <w:rPr/>
        <w:t xml:space="preserve"> At the granularity the three</w:t>
        <w:noBreakHyphen/>
        <w:t>way tensor contained 806 non</w:t>
        <w:noBreakHyphen/>
        <w:t>empty cells. Of these 802 cells were singletons, which's 99.5 percent. None of the cells reached the minimum expected count of 2 so none could be tested. Pairwise singleton rates ranged from 98.9 to 99.3 percent. After coarsening with K</w:t>
        <w:noBreakHyphen/>
        <w:t>means using 100, 30 and 60 clusters and silhouette scores between 0.08 and 0.12 192 pairwise cells became testable. None of these cells survived Benjamini–Hochberg correction at q ≤ 0.05 or q ≤ 0.10. The coarsened clusters appeared incoherent when inspected. One cluster of 82 datasets mixed Tox21, METR</w:t>
        <w:noBreakHyphen/>
        <w:t>LA and LibriSpeech. With m tests a cell can survive correction only if its expected count is at ln(m/q). For q = 0.05 the thresholds are 5.1 for task–dataset 7.2 for method–dataset and 7.8 for task–method. Four of 64 method–dataset cells and six of 120 task–method cells met this threshold. None of the eight task– cells met the threshold. The sparsity input included 1,775 of 1,951 records that the extractor marked as in scope. A post</w:t>
        <w:noBreakHyphen/>
        <w:t>hoc specificity filter then rejected 150 dataset values in the sparsity build. Table 3 was computed on a pass of 100 papers that used the same model and settings. In that pass 71 of 76 cohort papers produced output. This table does not use the saved full</w:t>
        <w:noBreakHyphen/>
        <w:t>corpus extractions. Nine of the values from that pass would be rejected by the current specificity rule. Table 3 treats the label "not_stated" as null. The project’s evaluator however counts it as a gold value. Because of this difference rescoring with that evaluator results in recall and F1, for the dataset, metric and limitation fields. If the nine rejected values were set to null the number of false positives would drop from 37 to 28. Exact dataset precision would then increase from 0.051 to 0.067. The F1 score would remain essentially unchanged. Human validation therefore shows what the same model and prompt achieved on that pass. Human validation does not directly validate the 7,031 spans in the saved full</w:t>
        <w:noBreakHyphen/>
        <w:t>corpus run.</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b/>
          <w:bCs/>
        </w:rPr>
        <w:t>5. Discussion</w:t>
      </w:r>
    </w:p>
    <w:p>
      <w:pPr>
        <w:pStyle w:val="Normal"/>
        <w:bidi w:val="0"/>
        <w:jc w:val="left"/>
        <w:rPr/>
      </w:pPr>
      <w:r>
        <w:rPr/>
        <w:t>The corpus analysis indicates that lexical rules fail at multiple stages. Relevance-ranked search admitted papers and an audit that reused the building rule hid a second failure. An independent check exposed a failure: the ambiguity of an abbreviation. This is RQ1. None of these failures was visible to metrics because the extractor accepted 93 of the 95 abbreviation-only records. So a gap claim is no more valid than the corpus fragments it connects as Swanson (1986) showed. Dense retrieval was ahead in numbers on nDCG at 10. That difference was not statistically significant. An earlier significant result did not replicate after the abstracts were corrected. RRF did not clearly outperform the alternatives reported by Cormack et al. (2009) even though RRF was highest on nDCG at 20 and MAP. Fusion should therefore be tested rather than assumed to work, and a larger query set is needed. That is RQ2. Literal substring validation stops quotations from being absent from the source. It does not establish entailment. That is RQ3. The shift in Method F1 from 0.000 to 0.748 shows that the scoring design can reverse conclusions. However, the semantic threshold was calibrated on ten Method cases and may misjudge acronyms or related labels. Reporting both scores exposes this choice. Unlike SciMON, LitLLM and the method of Wu et al. (2025), which assess generated output this study evaluates the inputs. Generated gaps or reviews cannot be better supported than the evidence supplied. The negative sparsity result for RQ4 reflects a long-tailed vocabulary. Expected counts grow with corpus size; larger corpora or validated coarse ontologies are therefore needed. This does not show that no gaps exist, because rarity may also reflect extraction errors or low volume.</w:t>
      </w:r>
    </w:p>
    <w:p>
      <w:pPr>
        <w:pStyle w:val="Normal"/>
        <w:bidi w:val="0"/>
        <w:jc w:val="left"/>
        <w:rPr/>
      </w:pPr>
      <w:r>
        <w:rPr/>
      </w:r>
    </w:p>
    <w:p>
      <w:pPr>
        <w:pStyle w:val="Normal"/>
        <w:bidi w:val="0"/>
        <w:jc w:val="left"/>
        <w:rPr/>
      </w:pPr>
      <w:r>
        <w:rPr>
          <w:b/>
          <w:bCs/>
        </w:rPr>
        <w:t>6.</w:t>
      </w:r>
      <w:r>
        <w:rPr>
          <w:rFonts w:eastAsia="Times New Roman" w:cs="Times New Roman" w:ascii="Times New Roman" w:hAnsi="Times New Roman"/>
          <w:b/>
          <w:bCs/>
          <w:sz w:val="24"/>
        </w:rPr>
        <w:t>Conclusion</w:t>
      </w:r>
    </w:p>
    <w:p>
      <w:pPr>
        <w:pStyle w:val="Normal"/>
        <w:bidi w:val="0"/>
        <w:jc w:val="left"/>
        <w:rPr/>
      </w:pPr>
      <w:r>
        <w:rPr/>
        <w:t>RQ1: Earlier builds were heavily affected by topic drift. The strict rule produced a 1,951-record corpus that was coherent but not clean. The 1,951-record corpus still contained 95 records, which is 4.9% of the corpus and most of those 95 records come from the years 2015 to 2017.</w:t>
      </w:r>
    </w:p>
    <w:p>
      <w:pPr>
        <w:pStyle w:val="Normal"/>
        <w:bidi w:val="0"/>
        <w:jc w:val="left"/>
        <w:rPr/>
      </w:pPr>
      <w:r>
        <w:rPr/>
        <w:t>RQ2: Dense retrieval, measured by nDCG@10 = 0.568 was numerically better than RRF = 0.533 and BM25 = 0.490. However, after correction no pairwise difference between retrieval and BM25 was statistically significant with the Holm-adjusted p-value equal to 0.41.</w:t>
      </w:r>
    </w:p>
    <w:p>
      <w:pPr>
        <w:pStyle w:val="Normal"/>
        <w:bidi w:val="0"/>
        <w:jc w:val="left"/>
        <w:rPr/>
      </w:pPr>
      <w:r>
        <w:rPr/>
        <w:t>RQ3: All 1,951 papers were validated with 7,031 exact spans. The semantic agreement with annotation ranged from 0.50 for the setting category to 0.91 for the future work category. Exact scoring, however showed near-zero agreement.</w:t>
      </w:r>
    </w:p>
    <w:p>
      <w:pPr>
        <w:pStyle w:val="Normal"/>
        <w:bidi w:val="0"/>
        <w:jc w:val="left"/>
        <w:rPr/>
      </w:pPr>
      <w:r>
        <w:rPr/>
        <w:t>RQ4: Sparsity testing did not provide any gap candidates. The pipeline is supported as a corpus-processing component, not as a validated research gap detector.</w:t>
      </w:r>
    </w:p>
    <w:p>
      <w:pPr>
        <w:pStyle w:val="Normal"/>
        <w:bidi w:val="0"/>
        <w:jc w:val="left"/>
        <w:rPr/>
      </w:pPr>
      <w:r>
        <w:rPr/>
      </w:r>
    </w:p>
    <w:p>
      <w:pPr>
        <w:pStyle w:val="Normal"/>
        <w:bidi w:val="0"/>
        <w:ind w:left="0" w:right="0" w:hanging="0"/>
        <w:jc w:val="left"/>
        <w:rPr/>
      </w:pPr>
      <w:r>
        <w:rPr>
          <w:rFonts w:eastAsia="Times New Roman" w:cs="Times New Roman" w:ascii="Times New Roman" w:hAnsi="Times New Roman"/>
          <w:b/>
          <w:sz w:val="24"/>
        </w:rPr>
        <w:t>7. Limitations of the Study</w:t>
      </w:r>
    </w:p>
    <w:p>
      <w:pPr>
        <w:pStyle w:val="Normal"/>
        <w:bidi w:val="0"/>
        <w:jc w:val="left"/>
        <w:rPr/>
      </w:pPr>
      <w:r>
        <w:rPr/>
        <w:t>The results reported for corpus version four were based on the original build rather than a rebuild after the abbreviation audit. Removing all 95 records would also eliminate at least four genuine papers. The retrieval pool was derived from a stage of the corpus and 641 cited references remained unresolved. The primary metric was selected after inspecting first-pass results. Retrieval had to be rerun because the pool contained abstracts with repeated words dropped due to an earlier reconstruction error; only the rerun results are reported. Additionally, the 19 queries provide limited statistical power. Substring evidence does not establish entailment. The fabrication audit is an unvalidated heuristic. Human validation is based on 76 papers labeled by a single annotator. These papers were scored during a 100-paper validation pass rather than on the saved full-corpus run. The exploratory threshold was calibrated on ten cases. The sparsity test is underpowered. No gap-level validation was attempted.</w:t>
      </w:r>
    </w:p>
    <w:p>
      <w:pPr>
        <w:pStyle w:val="Normal"/>
        <w:bidi w:val="0"/>
        <w:jc w:val="left"/>
        <w:rPr/>
      </w:pPr>
      <w:r>
        <w:rPr/>
      </w:r>
    </w:p>
    <w:p>
      <w:pPr>
        <w:pStyle w:val="Normal"/>
        <w:bidi w:val="0"/>
        <w:jc w:val="left"/>
        <w:rPr/>
      </w:pPr>
      <w:r>
        <w:rPr>
          <w:b/>
          <w:bCs/>
        </w:rPr>
        <w:t>8. Data and Code Availability</w:t>
      </w:r>
    </w:p>
    <w:p>
      <w:pPr>
        <w:pStyle w:val="Normal"/>
        <w:bidi w:val="0"/>
        <w:jc w:val="left"/>
        <w:rPr/>
      </w:pPr>
      <w:r>
        <w:rPr/>
        <w:t>Code and results are available at https://github.com/Pratheeksha26/ResearchPaper. A rebuild from the cached OpenAlex responses reproduced the saved PRISMA flow from 2,879 identified papers to 1,951 included papers confirming the screening, de-duplication and cap logic. A live rebuild with a cache in October 2026 returned 1,952 records. Of those, 729 records (37.4%) were in the analysed corpus. The analysed corpus contains 95% of papers from 2015–2017, 78% from 2018 and between 10% and 50% from each year from 2019 to 2026. This variation occurs because OpenAlex changes over time and the top 300 relevance-ranked results per year are retained. The exact corpus should therefore be archived rather than regenerated. The repository includes the corpus and the cached OpenAlex responses. An archived copy with a DOI will be added upon publication. The sparsity and clustering results were reproduced from the saved extractions. Repeated runs of the retrieval benchmark produced metrics.</w:t>
      </w:r>
    </w:p>
    <w:p>
      <w:pPr>
        <w:pStyle w:val="Normal"/>
        <w:bidi w:val="0"/>
        <w:jc w:val="left"/>
        <w:rPr/>
      </w:pPr>
      <w:r>
        <w:rPr/>
      </w:r>
    </w:p>
    <w:p>
      <w:pPr>
        <w:pStyle w:val="Normal"/>
        <w:bidi w:val="0"/>
        <w:jc w:val="left"/>
        <w:rPr>
          <w:b/>
          <w:b/>
          <w:bCs/>
        </w:rPr>
      </w:pPr>
      <w:r>
        <w:rPr>
          <w:b/>
          <w:bCs/>
        </w:rPr>
        <w:t>References</w:t>
      </w:r>
    </w:p>
    <w:p>
      <w:pPr>
        <w:pStyle w:val="Normal"/>
        <w:bidi w:val="0"/>
        <w:ind w:left="720" w:right="0" w:hanging="720"/>
        <w:jc w:val="left"/>
        <w:rPr/>
      </w:pPr>
      <w:r>
        <w:rPr>
          <w:rFonts w:eastAsia="Times New Roman" w:cs="Times New Roman" w:ascii="Times New Roman" w:hAnsi="Times New Roman"/>
        </w:rPr>
        <w:t xml:space="preserve">Agarwal, S., Sahu, G., Puri, A., Laradji, I. H., Dvijotham, K. D., Stanley, J., Charlin, L., &amp; Pal, C. (2024). </w:t>
      </w:r>
      <w:r>
        <w:rPr>
          <w:rFonts w:eastAsia="Times New Roman" w:cs="Times New Roman" w:ascii="Times New Roman" w:hAnsi="Times New Roman"/>
          <w:i/>
        </w:rPr>
        <w:t>LitLLM: A toolkit for scientific literature review</w:t>
      </w:r>
      <w:r>
        <w:rPr>
          <w:rFonts w:eastAsia="Times New Roman" w:cs="Times New Roman" w:ascii="Times New Roman" w:hAnsi="Times New Roman"/>
        </w:rPr>
        <w:t>. arXiv. https://doi.org/10.48550/arXiv.2402.01788</w:t>
      </w:r>
    </w:p>
    <w:p>
      <w:pPr>
        <w:pStyle w:val="Normal"/>
        <w:bidi w:val="0"/>
        <w:spacing w:lineRule="exact" w:line="150" w:before="0" w:after="0"/>
        <w:ind w:left="720" w:right="0" w:hanging="720"/>
        <w:jc w:val="left"/>
        <w:rPr/>
      </w:pPr>
      <w:r>
        <w:rPr/>
      </w:r>
    </w:p>
    <w:p>
      <w:pPr>
        <w:pStyle w:val="Normal"/>
        <w:bidi w:val="0"/>
        <w:ind w:left="720" w:right="0" w:hanging="720"/>
        <w:jc w:val="left"/>
        <w:rPr/>
      </w:pPr>
      <w:r>
        <w:rPr>
          <w:rFonts w:eastAsia="Times New Roman" w:cs="Times New Roman" w:ascii="Times New Roman" w:hAnsi="Times New Roman"/>
        </w:rPr>
        <w:t xml:space="preserve">Benjamini, Y., &amp; Hochberg, Y. (1995). Controlling the false discovery rate: A practical and powerful approach to multiple testing. </w:t>
      </w:r>
      <w:r>
        <w:rPr>
          <w:rFonts w:eastAsia="Times New Roman" w:cs="Times New Roman" w:ascii="Times New Roman" w:hAnsi="Times New Roman"/>
          <w:i/>
        </w:rPr>
        <w:t>Journal of the Royal Statistical Society: Series B (Methodological), 57</w:t>
      </w:r>
      <w:r>
        <w:rPr>
          <w:rFonts w:eastAsia="Times New Roman" w:cs="Times New Roman" w:ascii="Times New Roman" w:hAnsi="Times New Roman"/>
        </w:rPr>
        <w:t>(1), 289–300.</w:t>
      </w:r>
    </w:p>
    <w:p>
      <w:pPr>
        <w:pStyle w:val="Normal"/>
        <w:bidi w:val="0"/>
        <w:spacing w:lineRule="exact" w:line="150" w:before="0" w:after="0"/>
        <w:ind w:left="720" w:right="0" w:hanging="720"/>
        <w:jc w:val="left"/>
        <w:rPr/>
      </w:pPr>
      <w:r>
        <w:rPr/>
      </w:r>
    </w:p>
    <w:p>
      <w:pPr>
        <w:pStyle w:val="Normal"/>
        <w:bidi w:val="0"/>
        <w:ind w:left="720" w:right="0" w:hanging="720"/>
        <w:jc w:val="left"/>
        <w:rPr/>
      </w:pPr>
      <w:r>
        <w:rPr>
          <w:rFonts w:eastAsia="Times New Roman" w:cs="Times New Roman" w:ascii="Times New Roman" w:hAnsi="Times New Roman"/>
        </w:rPr>
        <w:t xml:space="preserve">Cormack, G. V., Clarke, C. L. A., &amp; Büttcher, S. (2009). Reciprocal rank fusion outperforms Condorcet and individual rank learning methods. In </w:t>
      </w:r>
      <w:r>
        <w:rPr>
          <w:rFonts w:eastAsia="Times New Roman" w:cs="Times New Roman" w:ascii="Times New Roman" w:hAnsi="Times New Roman"/>
          <w:i/>
        </w:rPr>
        <w:t>Proceedings of the 32nd International ACM SIGIR Conference on Research and Development in Information Retrieval</w:t>
      </w:r>
      <w:r>
        <w:rPr>
          <w:rFonts w:eastAsia="Times New Roman" w:cs="Times New Roman" w:ascii="Times New Roman" w:hAnsi="Times New Roman"/>
        </w:rPr>
        <w:t xml:space="preserve"> (pp. 758–759). ACM.</w:t>
      </w:r>
    </w:p>
    <w:p>
      <w:pPr>
        <w:pStyle w:val="Normal"/>
        <w:bidi w:val="0"/>
        <w:spacing w:lineRule="exact" w:line="150" w:before="0" w:after="0"/>
        <w:ind w:left="720" w:right="0" w:hanging="720"/>
        <w:jc w:val="left"/>
        <w:rPr/>
      </w:pPr>
      <w:r>
        <w:rPr/>
      </w:r>
    </w:p>
    <w:p>
      <w:pPr>
        <w:pStyle w:val="Normal"/>
        <w:bidi w:val="0"/>
        <w:ind w:left="720" w:right="0" w:hanging="720"/>
        <w:jc w:val="left"/>
        <w:rPr/>
      </w:pPr>
      <w:r>
        <w:rPr>
          <w:rFonts w:eastAsia="Times New Roman" w:cs="Times New Roman" w:ascii="Times New Roman" w:hAnsi="Times New Roman"/>
        </w:rPr>
        <w:t xml:space="preserve">Efron, B. (1979). Bootstrap methods: Another look at the jackknife. </w:t>
      </w:r>
      <w:r>
        <w:rPr>
          <w:rFonts w:eastAsia="Times New Roman" w:cs="Times New Roman" w:ascii="Times New Roman" w:hAnsi="Times New Roman"/>
          <w:i/>
        </w:rPr>
        <w:t>The Annals of Statistics, 7</w:t>
      </w:r>
      <w:r>
        <w:rPr>
          <w:rFonts w:eastAsia="Times New Roman" w:cs="Times New Roman" w:ascii="Times New Roman" w:hAnsi="Times New Roman"/>
        </w:rPr>
        <w:t>(1), 1–26.</w:t>
      </w:r>
    </w:p>
    <w:p>
      <w:pPr>
        <w:pStyle w:val="Normal"/>
        <w:bidi w:val="0"/>
        <w:spacing w:lineRule="exact" w:line="150" w:before="0" w:after="0"/>
        <w:ind w:left="720" w:right="0" w:hanging="720"/>
        <w:jc w:val="left"/>
        <w:rPr/>
      </w:pPr>
      <w:r>
        <w:rPr/>
      </w:r>
    </w:p>
    <w:p>
      <w:pPr>
        <w:pStyle w:val="Normal"/>
        <w:bidi w:val="0"/>
        <w:ind w:left="720" w:right="0" w:hanging="720"/>
        <w:jc w:val="left"/>
        <w:rPr/>
      </w:pPr>
      <w:r>
        <w:rPr>
          <w:rFonts w:eastAsia="Times New Roman" w:cs="Times New Roman" w:ascii="Times New Roman" w:hAnsi="Times New Roman"/>
        </w:rPr>
        <w:t xml:space="preserve">Gilmer, J., Schoenholz, S. S., Riley, P. F., Vinyals, O., &amp; Dahl, G. E. (2017). Neural message passing for quantum chemistry. In </w:t>
      </w:r>
      <w:r>
        <w:rPr>
          <w:rFonts w:eastAsia="Times New Roman" w:cs="Times New Roman" w:ascii="Times New Roman" w:hAnsi="Times New Roman"/>
          <w:i/>
        </w:rPr>
        <w:t>Proceedings of the 34th International Conference on Machine Learning</w:t>
      </w:r>
      <w:r>
        <w:rPr>
          <w:rFonts w:eastAsia="Times New Roman" w:cs="Times New Roman" w:ascii="Times New Roman" w:hAnsi="Times New Roman"/>
        </w:rPr>
        <w:t xml:space="preserve"> (PMLR 70, pp. 1263–1272).</w:t>
      </w:r>
    </w:p>
    <w:p>
      <w:pPr>
        <w:pStyle w:val="Normal"/>
        <w:bidi w:val="0"/>
        <w:spacing w:lineRule="exact" w:line="150" w:before="0" w:after="0"/>
        <w:ind w:left="720" w:right="0" w:hanging="720"/>
        <w:jc w:val="left"/>
        <w:rPr/>
      </w:pPr>
      <w:r>
        <w:rPr/>
      </w:r>
    </w:p>
    <w:p>
      <w:pPr>
        <w:pStyle w:val="Normal"/>
        <w:bidi w:val="0"/>
        <w:ind w:left="720" w:right="0" w:hanging="720"/>
        <w:jc w:val="left"/>
        <w:rPr/>
      </w:pPr>
      <w:r>
        <w:rPr>
          <w:rFonts w:eastAsia="Times New Roman" w:cs="Times New Roman" w:ascii="Times New Roman" w:hAnsi="Times New Roman"/>
        </w:rPr>
        <w:t xml:space="preserve">Holm, S. (1979). A simple sequentially rejective multiple test procedure. </w:t>
      </w:r>
      <w:r>
        <w:rPr>
          <w:rFonts w:eastAsia="Times New Roman" w:cs="Times New Roman" w:ascii="Times New Roman" w:hAnsi="Times New Roman"/>
          <w:i/>
        </w:rPr>
        <w:t>Scandinavian Journal of Statistics, 6</w:t>
      </w:r>
      <w:r>
        <w:rPr>
          <w:rFonts w:eastAsia="Times New Roman" w:cs="Times New Roman" w:ascii="Times New Roman" w:hAnsi="Times New Roman"/>
        </w:rPr>
        <w:t>(2), 65–70.</w:t>
      </w:r>
    </w:p>
    <w:p>
      <w:pPr>
        <w:pStyle w:val="Normal"/>
        <w:bidi w:val="0"/>
        <w:spacing w:lineRule="exact" w:line="150" w:before="0" w:after="0"/>
        <w:ind w:left="720" w:right="0" w:hanging="720"/>
        <w:jc w:val="left"/>
        <w:rPr/>
      </w:pPr>
      <w:r>
        <w:rPr/>
      </w:r>
    </w:p>
    <w:p>
      <w:pPr>
        <w:pStyle w:val="Normal"/>
        <w:bidi w:val="0"/>
        <w:ind w:left="720" w:right="0" w:hanging="720"/>
        <w:jc w:val="left"/>
        <w:rPr/>
      </w:pPr>
      <w:r>
        <w:rPr>
          <w:rFonts w:eastAsia="Times New Roman" w:cs="Times New Roman" w:ascii="Times New Roman" w:hAnsi="Times New Roman"/>
        </w:rPr>
        <w:t xml:space="preserve">Järvelin, K., &amp; Kekäläinen, J. (2002). Cumulated gain-based evaluation of IR techniques. </w:t>
      </w:r>
      <w:r>
        <w:rPr>
          <w:rFonts w:eastAsia="Times New Roman" w:cs="Times New Roman" w:ascii="Times New Roman" w:hAnsi="Times New Roman"/>
          <w:i/>
        </w:rPr>
        <w:t>ACM Transactions on Information Systems, 20</w:t>
      </w:r>
      <w:r>
        <w:rPr>
          <w:rFonts w:eastAsia="Times New Roman" w:cs="Times New Roman" w:ascii="Times New Roman" w:hAnsi="Times New Roman"/>
        </w:rPr>
        <w:t>(4), 422–446.</w:t>
      </w:r>
    </w:p>
    <w:p>
      <w:pPr>
        <w:pStyle w:val="Normal"/>
        <w:bidi w:val="0"/>
        <w:spacing w:lineRule="exact" w:line="150" w:before="0" w:after="0"/>
        <w:ind w:left="720" w:right="0" w:hanging="720"/>
        <w:jc w:val="left"/>
        <w:rPr/>
      </w:pPr>
      <w:r>
        <w:rPr/>
      </w:r>
    </w:p>
    <w:p>
      <w:pPr>
        <w:pStyle w:val="Normal"/>
        <w:bidi w:val="0"/>
        <w:ind w:left="720" w:right="0" w:hanging="720"/>
        <w:jc w:val="left"/>
        <w:rPr/>
      </w:pPr>
      <w:r>
        <w:rPr>
          <w:rFonts w:eastAsia="Times New Roman" w:cs="Times New Roman" w:ascii="Times New Roman" w:hAnsi="Times New Roman"/>
        </w:rPr>
        <w:t xml:space="preserve">Kipf, T. N., &amp; Welling, M. (2017). Semi-supervised classification with graph convolutional networks. In </w:t>
      </w:r>
      <w:r>
        <w:rPr>
          <w:rFonts w:eastAsia="Times New Roman" w:cs="Times New Roman" w:ascii="Times New Roman" w:hAnsi="Times New Roman"/>
          <w:i/>
        </w:rPr>
        <w:t>International Conference on Learning Representations</w:t>
      </w:r>
      <w:r>
        <w:rPr>
          <w:rFonts w:eastAsia="Times New Roman" w:cs="Times New Roman" w:ascii="Times New Roman" w:hAnsi="Times New Roman"/>
        </w:rPr>
        <w:t>.</w:t>
      </w:r>
    </w:p>
    <w:p>
      <w:pPr>
        <w:pStyle w:val="Normal"/>
        <w:bidi w:val="0"/>
        <w:spacing w:lineRule="exact" w:line="150" w:before="0" w:after="0"/>
        <w:ind w:left="720" w:right="0" w:hanging="720"/>
        <w:jc w:val="left"/>
        <w:rPr/>
      </w:pPr>
      <w:r>
        <w:rPr/>
      </w:r>
    </w:p>
    <w:p>
      <w:pPr>
        <w:pStyle w:val="Normal"/>
        <w:bidi w:val="0"/>
        <w:ind w:left="720" w:right="0" w:hanging="720"/>
        <w:jc w:val="left"/>
        <w:rPr/>
      </w:pPr>
      <w:r>
        <w:rPr>
          <w:rFonts w:eastAsia="Times New Roman" w:cs="Times New Roman" w:ascii="Times New Roman" w:hAnsi="Times New Roman"/>
        </w:rPr>
        <w:t xml:space="preserve">Page, M. J., McKenzie, J. E., Bossuyt, P. M., Boutron, I., Hoffmann, T. C., Mulrow, C. D., et al. (2021). The PRISMA 2020 statement: An updated guideline for reporting systematic reviews. </w:t>
      </w:r>
      <w:r>
        <w:rPr>
          <w:rFonts w:eastAsia="Times New Roman" w:cs="Times New Roman" w:ascii="Times New Roman" w:hAnsi="Times New Roman"/>
          <w:i/>
        </w:rPr>
        <w:t>BMJ, 372</w:t>
      </w:r>
      <w:r>
        <w:rPr>
          <w:rFonts w:eastAsia="Times New Roman" w:cs="Times New Roman" w:ascii="Times New Roman" w:hAnsi="Times New Roman"/>
        </w:rPr>
        <w:t>, Article n71. https://doi.org/10.1136/bmj.n71</w:t>
      </w:r>
    </w:p>
    <w:p>
      <w:pPr>
        <w:pStyle w:val="Normal"/>
        <w:bidi w:val="0"/>
        <w:spacing w:lineRule="exact" w:line="150" w:before="0" w:after="0"/>
        <w:ind w:left="720" w:right="0" w:hanging="720"/>
        <w:jc w:val="left"/>
        <w:rPr/>
      </w:pPr>
      <w:r>
        <w:rPr/>
      </w:r>
    </w:p>
    <w:p>
      <w:pPr>
        <w:pStyle w:val="Normal"/>
        <w:bidi w:val="0"/>
        <w:ind w:left="720" w:right="0" w:hanging="720"/>
        <w:jc w:val="left"/>
        <w:rPr/>
      </w:pPr>
      <w:r>
        <w:rPr>
          <w:rFonts w:eastAsia="Times New Roman" w:cs="Times New Roman" w:ascii="Times New Roman" w:hAnsi="Times New Roman"/>
        </w:rPr>
        <w:t xml:space="preserve">Priem, J., Piwowar, H., &amp; Orr, R. (2022). </w:t>
      </w:r>
      <w:r>
        <w:rPr>
          <w:rFonts w:eastAsia="Times New Roman" w:cs="Times New Roman" w:ascii="Times New Roman" w:hAnsi="Times New Roman"/>
          <w:i/>
        </w:rPr>
        <w:t>OpenAlex: A fully-open index of scholarly works, authors, venues, institutions, and concepts</w:t>
      </w:r>
      <w:r>
        <w:rPr>
          <w:rFonts w:eastAsia="Times New Roman" w:cs="Times New Roman" w:ascii="Times New Roman" w:hAnsi="Times New Roman"/>
        </w:rPr>
        <w:t>. arXiv. https://arxiv.org/abs/2205.01833</w:t>
      </w:r>
    </w:p>
    <w:p>
      <w:pPr>
        <w:pStyle w:val="Normal"/>
        <w:bidi w:val="0"/>
        <w:spacing w:lineRule="exact" w:line="150" w:before="0" w:after="0"/>
        <w:ind w:left="720" w:right="0" w:hanging="720"/>
        <w:jc w:val="left"/>
        <w:rPr/>
      </w:pPr>
      <w:r>
        <w:rPr/>
      </w:r>
    </w:p>
    <w:p>
      <w:pPr>
        <w:pStyle w:val="Normal"/>
        <w:bidi w:val="0"/>
        <w:ind w:left="720" w:right="0" w:hanging="720"/>
        <w:jc w:val="left"/>
        <w:rPr/>
      </w:pPr>
      <w:r>
        <w:rPr>
          <w:rFonts w:eastAsia="Times New Roman" w:cs="Times New Roman" w:ascii="Times New Roman" w:hAnsi="Times New Roman"/>
        </w:rPr>
        <w:t xml:space="preserve">Reimers, N., &amp; Gurevych, I. (2019). Sentence-BERT: Sentence embeddings using Siamese BERT-networks. In </w:t>
      </w:r>
      <w:r>
        <w:rPr>
          <w:rFonts w:eastAsia="Times New Roman" w:cs="Times New Roman" w:ascii="Times New Roman" w:hAnsi="Times New Roman"/>
          <w:i/>
        </w:rPr>
        <w:t>Proceedings of EMNLP-IJCNLP 2019</w:t>
      </w:r>
      <w:r>
        <w:rPr>
          <w:rFonts w:eastAsia="Times New Roman" w:cs="Times New Roman" w:ascii="Times New Roman" w:hAnsi="Times New Roman"/>
        </w:rPr>
        <w:t xml:space="preserve"> (pp. 3982–3992). Association for Computational Linguistics.</w:t>
      </w:r>
    </w:p>
    <w:p>
      <w:pPr>
        <w:pStyle w:val="Normal"/>
        <w:bidi w:val="0"/>
        <w:ind w:left="720" w:right="0" w:hanging="720"/>
        <w:jc w:val="left"/>
        <w:rPr/>
      </w:pPr>
      <w:r>
        <w:rPr>
          <w:rFonts w:eastAsia="Times New Roman" w:cs="Times New Roman" w:ascii="Times New Roman" w:hAnsi="Times New Roman"/>
        </w:rPr>
        <w:t xml:space="preserve">Robertson, S. E., Walker, S., Jones, S., Hancock-Beaulieu, M. M., &amp; Gatford, M. (1995). Okapi at TREC-3. In </w:t>
      </w:r>
      <w:r>
        <w:rPr>
          <w:rFonts w:eastAsia="Times New Roman" w:cs="Times New Roman" w:ascii="Times New Roman" w:hAnsi="Times New Roman"/>
          <w:i/>
        </w:rPr>
        <w:t>Proceedings of the Third Text REtrieval Conference (TREC-3)</w:t>
      </w:r>
      <w:r>
        <w:rPr>
          <w:rFonts w:eastAsia="Times New Roman" w:cs="Times New Roman" w:ascii="Times New Roman" w:hAnsi="Times New Roman"/>
        </w:rPr>
        <w:t xml:space="preserve"> (NIST Special Publication 500-225, pp. 109–126).</w:t>
      </w:r>
    </w:p>
    <w:p>
      <w:pPr>
        <w:pStyle w:val="Normal"/>
        <w:bidi w:val="0"/>
        <w:spacing w:lineRule="exact" w:line="150" w:before="0" w:after="0"/>
        <w:ind w:left="720" w:right="0" w:hanging="720"/>
        <w:jc w:val="left"/>
        <w:rPr/>
      </w:pPr>
      <w:r>
        <w:rPr/>
      </w:r>
    </w:p>
    <w:p>
      <w:pPr>
        <w:pStyle w:val="Normal"/>
        <w:bidi w:val="0"/>
        <w:ind w:left="720" w:right="0" w:hanging="720"/>
        <w:jc w:val="left"/>
        <w:rPr/>
      </w:pPr>
      <w:r>
        <w:rPr>
          <w:rFonts w:eastAsia="Times New Roman" w:cs="Times New Roman" w:ascii="Times New Roman" w:hAnsi="Times New Roman"/>
        </w:rPr>
        <w:t xml:space="preserve">Swanson, D. R. (1986). Undiscovered public knowledge. </w:t>
      </w:r>
      <w:r>
        <w:rPr>
          <w:rFonts w:eastAsia="Times New Roman" w:cs="Times New Roman" w:ascii="Times New Roman" w:hAnsi="Times New Roman"/>
          <w:i/>
        </w:rPr>
        <w:t>The Library Quarterly, 56</w:t>
      </w:r>
      <w:r>
        <w:rPr>
          <w:rFonts w:eastAsia="Times New Roman" w:cs="Times New Roman" w:ascii="Times New Roman" w:hAnsi="Times New Roman"/>
        </w:rPr>
        <w:t>(2), 103–118.</w:t>
      </w:r>
    </w:p>
    <w:p>
      <w:pPr>
        <w:pStyle w:val="Normal"/>
        <w:bidi w:val="0"/>
        <w:ind w:left="720" w:right="0" w:hanging="720"/>
        <w:jc w:val="left"/>
        <w:rPr/>
      </w:pPr>
      <w:r>
        <w:rPr>
          <w:rFonts w:eastAsia="Times New Roman" w:cs="Times New Roman" w:ascii="Times New Roman" w:hAnsi="Times New Roman"/>
        </w:rPr>
        <w:t xml:space="preserve">Wang, Q., Downey, D., Ji, H., &amp; Hope, T. (2024). SciMON: Scientific inspiration machines optimized for novelty. In </w:t>
      </w:r>
      <w:r>
        <w:rPr>
          <w:rFonts w:eastAsia="Times New Roman" w:cs="Times New Roman" w:ascii="Times New Roman" w:hAnsi="Times New Roman"/>
          <w:i/>
        </w:rPr>
        <w:t>Proceedings of the 62nd Annual Meeting of the Association for Computational Linguistics (Volume 1: Long Papers)</w:t>
      </w:r>
      <w:r>
        <w:rPr>
          <w:rFonts w:eastAsia="Times New Roman" w:cs="Times New Roman" w:ascii="Times New Roman" w:hAnsi="Times New Roman"/>
        </w:rPr>
        <w:t>. Association for Computational Linguistics. https://aclanthology.org/2024.acl-long.18</w:t>
      </w:r>
    </w:p>
    <w:p>
      <w:pPr>
        <w:pStyle w:val="Normal"/>
        <w:bidi w:val="0"/>
        <w:spacing w:lineRule="exact" w:line="150" w:before="0" w:after="0"/>
        <w:ind w:left="720" w:right="0" w:hanging="720"/>
        <w:jc w:val="left"/>
        <w:rPr/>
      </w:pPr>
      <w:r>
        <w:rPr/>
      </w:r>
    </w:p>
    <w:p>
      <w:pPr>
        <w:pStyle w:val="Normal"/>
        <w:bidi w:val="0"/>
        <w:ind w:left="720" w:right="0" w:hanging="720"/>
        <w:jc w:val="left"/>
        <w:rPr/>
      </w:pPr>
      <w:r>
        <w:rPr>
          <w:rFonts w:eastAsia="Times New Roman" w:cs="Times New Roman" w:ascii="Times New Roman" w:hAnsi="Times New Roman"/>
        </w:rPr>
        <w:t xml:space="preserve">Wilcoxon, F. (1945). Individual comparisons by ranking methods. </w:t>
      </w:r>
      <w:r>
        <w:rPr>
          <w:rFonts w:eastAsia="Times New Roman" w:cs="Times New Roman" w:ascii="Times New Roman" w:hAnsi="Times New Roman"/>
          <w:i/>
        </w:rPr>
        <w:t>Biometrics Bulletin, 1</w:t>
      </w:r>
      <w:r>
        <w:rPr>
          <w:rFonts w:eastAsia="Times New Roman" w:cs="Times New Roman" w:ascii="Times New Roman" w:hAnsi="Times New Roman"/>
        </w:rPr>
        <w:t>(6), 80–83.</w:t>
      </w:r>
    </w:p>
    <w:p>
      <w:pPr>
        <w:pStyle w:val="Normal"/>
        <w:bidi w:val="0"/>
        <w:spacing w:lineRule="exact" w:line="150" w:before="0" w:after="0"/>
        <w:ind w:left="720" w:right="0" w:hanging="720"/>
        <w:jc w:val="left"/>
        <w:rPr/>
      </w:pPr>
      <w:r>
        <w:rPr/>
      </w:r>
    </w:p>
    <w:p>
      <w:pPr>
        <w:pStyle w:val="Normal"/>
        <w:bidi w:val="0"/>
        <w:ind w:left="720" w:right="0" w:hanging="720"/>
        <w:jc w:val="left"/>
        <w:rPr/>
      </w:pPr>
      <w:r>
        <w:rPr>
          <w:rFonts w:eastAsia="Times New Roman" w:cs="Times New Roman" w:ascii="Times New Roman" w:hAnsi="Times New Roman"/>
        </w:rPr>
        <w:t xml:space="preserve">Wu, S., Ma, X., Luo, D., Li, L., Shi, X., Chang, X., Lin, X., Luo, R., Pei, C., Du, C., Zhao, Z.-J., &amp; Gong, J. (2025). Automated literature research and review-generation method based on large language models. </w:t>
      </w:r>
      <w:r>
        <w:rPr>
          <w:rFonts w:eastAsia="Times New Roman" w:cs="Times New Roman" w:ascii="Times New Roman" w:hAnsi="Times New Roman"/>
          <w:i/>
        </w:rPr>
        <w:t>National Science Review, 12</w:t>
      </w:r>
      <w:r>
        <w:rPr>
          <w:rFonts w:eastAsia="Times New Roman" w:cs="Times New Roman" w:ascii="Times New Roman" w:hAnsi="Times New Roman"/>
        </w:rPr>
        <w:t>(6), Article nwaf169. https://doi.org/10.1093/nsr/nwaf169</w:t>
      </w:r>
    </w:p>
    <w:p>
      <w:pPr>
        <w:pStyle w:val="Normal"/>
        <w:bidi w:val="0"/>
        <w:spacing w:lineRule="exact" w:line="150" w:before="0" w:after="0"/>
        <w:ind w:left="720" w:right="0" w:hanging="720"/>
        <w:jc w:val="left"/>
        <w:rPr/>
      </w:pPr>
      <w:r>
        <w:rPr/>
      </w:r>
    </w:p>
    <w:p>
      <w:pPr>
        <w:pStyle w:val="Normal"/>
        <w:bidi w:val="0"/>
        <w:ind w:left="720" w:right="0" w:hanging="720"/>
        <w:jc w:val="left"/>
        <w:rPr/>
      </w:pPr>
      <w:r>
        <w:rPr>
          <w:rFonts w:eastAsia="Times New Roman" w:cs="Times New Roman" w:ascii="Times New Roman" w:hAnsi="Times New Roman"/>
        </w:rPr>
        <w:t xml:space="preserve">Xiao, S., Liu, Z., Zhang, P., Muennighoff, N., Lian, D., &amp; Nie, J.-Y. (2024). C-Pack: Packed resources for general Chinese embeddings. In </w:t>
      </w:r>
      <w:r>
        <w:rPr>
          <w:rFonts w:eastAsia="Times New Roman" w:cs="Times New Roman" w:ascii="Times New Roman" w:hAnsi="Times New Roman"/>
          <w:i/>
        </w:rPr>
        <w:t>Proceedings of the 47th International ACM SIGIR Conference on Research and Development in Information Retrieval</w:t>
      </w:r>
      <w:r>
        <w:rPr>
          <w:rFonts w:eastAsia="Times New Roman" w:cs="Times New Roman" w:ascii="Times New Roman" w:hAnsi="Times New Roman"/>
        </w:rPr>
        <w:t xml:space="preserve"> (pp. 641–649). ACM. https://doi.org/10.1145/3626772.3657878</w:t>
      </w:r>
    </w:p>
    <w:p>
      <w:pPr>
        <w:pStyle w:val="Normal"/>
        <w:bidi w:val="0"/>
        <w:spacing w:lineRule="exact" w:line="150" w:before="0" w:after="0"/>
        <w:ind w:left="0" w:right="0" w:hanging="0"/>
        <w:jc w:val="left"/>
        <w:rPr/>
      </w:pPr>
      <w:r>
        <w:rPr/>
      </w:r>
    </w:p>
    <w:p>
      <w:pPr>
        <w:pStyle w:val="Normal"/>
        <w:bidi w:val="0"/>
        <w:jc w:val="left"/>
        <w:rPr/>
      </w:pPr>
      <w:r>
        <w:rPr/>
      </w:r>
    </w:p>
    <w:sectPr>
      <w:type w:val="nextPage"/>
      <w:pgSz w:w="11906" w:h="16838"/>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en-IN" w:eastAsia="zh-CN" w:bidi="hi-IN"/>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5908</TotalTime>
  <Application>LibreOffice/7.4.2.3$Windows_X86_64 LibreOffice_project/382eef1f22670f7f4118c8c2dd222ec7ad009daf</Application>
  <AppVersion>15.0000</AppVersion>
  <Pages>9</Pages>
  <Words>3862</Words>
  <Characters>21372</Characters>
  <CharactersWithSpaces>25044</CharactersWithSpaces>
  <Paragraphs>165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2026-10-16T09:25:25Z</dcterms:created>
  <dc:creator/>
  <dc:description/>
  <dc:language>en-IN</dc:language>
  <cp:lastModifiedBy/>
  <dcterms:modified xsi:type="dcterms:W3CDTF">2026-10-21T19:10:01Z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