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rPr>
          <w:rFonts w:ascii="Calibri" w:cs="Calibri" w:eastAsia="Calibri" w:hAnsi="Calibri"/>
          <w:b/>
          <w:bCs/>
          <w:color w:val="E23744"/>
          <w:spacing w:val="20"/>
          <w:sz w:val="24"/>
          <w:szCs w:val="24"/>
        </w:rPr>
        <w:t xml:space="preserve">PRODUCT REQUIREMENTS DOCUMENT</w:t>
      </w:r>
    </w:p>
    <w:p>
      <w:pPr>
        <w:spacing w:after="300"/>
      </w:pPr>
      <w:r>
        <w:rPr>
          <w:rFonts w:ascii="Calibri" w:cs="Calibri" w:eastAsia="Calibri" w:hAnsi="Calibri"/>
          <w:b/>
          <w:bCs/>
          <w:color w:val="1F2933"/>
          <w:sz w:val="64"/>
          <w:szCs w:val="64"/>
        </w:rPr>
        <w:t xml:space="preserve">Zomato Privacy Hub</w:t>
      </w:r>
    </w:p>
    <w:p>
      <w:pPr>
        <w:spacing w:after="600"/>
      </w:pPr>
      <w:r>
        <w:rPr>
          <w:rFonts w:ascii="Calibri" w:cs="Calibri" w:eastAsia="Calibri" w:hAnsi="Calibri"/>
          <w:color w:val="5B6773"/>
          <w:sz w:val="26"/>
          <w:szCs w:val="26"/>
        </w:rPr>
        <w:t xml:space="preserve">Redesigning Zomato's Consent &amp; Privacy Experience for the DPDP Act, 2023</w:t>
      </w:r>
    </w:p>
    <w:p>
      <w:pPr>
        <w:spacing w:after="80"/>
      </w:pPr>
      <w:r>
        <w:rPr>
          <w:rFonts w:ascii="Calibri" w:cs="Calibri" w:eastAsia="Calibri" w:hAnsi="Calibri"/>
          <w:b/>
          <w:bCs/>
          <w:color w:val="1F2933"/>
          <w:sz w:val="22"/>
          <w:szCs w:val="22"/>
        </w:rPr>
        <w:t xml:space="preserve">Prepared by  Prathiba P</w:t>
      </w:r>
    </w:p>
    <w:p>
      <w:pPr>
        <w:spacing w:after="80"/>
      </w:pPr>
      <w:r>
        <w:rPr>
          <w:rFonts w:ascii="Calibri" w:cs="Calibri" w:eastAsia="Calibri" w:hAnsi="Calibri"/>
          <w:color w:val="5B6773"/>
          <w:sz w:val="20"/>
          <w:szCs w:val="20"/>
        </w:rPr>
        <w:t xml:space="preserve">Product Management Case Study — Companion PRD to the Privacy Hub interactive prototype (v2)</w:t>
      </w:r>
    </w:p>
    <w:p>
      <w:pPr>
        <w:spacing w:after="1600"/>
      </w:pPr>
      <w:r>
        <w:rPr>
          <w:rFonts w:ascii="Calibri" w:cs="Calibri" w:eastAsia="Calibri" w:hAnsi="Calibri"/>
          <w:color w:val="5B6773"/>
          <w:sz w:val="20"/>
          <w:szCs w:val="20"/>
        </w:rPr>
        <w:t xml:space="preserve">Status: Draft for Review  ·  Version 2.0</w:t>
      </w:r>
    </w:p>
    <w:p>
      <w:pPr>
        <w:pBdr>
          <w:top w:val="single" w:color="D8DEE4" w:sz="6" w:space="8"/>
        </w:pBdr>
        <w:spacing w:before="200"/>
      </w:pPr>
      <w:r>
        <w:rPr>
          <w:rFonts w:ascii="Calibri" w:cs="Calibri" w:eastAsia="Calibri" w:hAnsi="Calibri"/>
          <w:i/>
          <w:iCs/>
          <w:color w:val="5B6773"/>
          <w:sz w:val="18"/>
          <w:szCs w:val="18"/>
        </w:rPr>
        <w:t xml:space="preserve">This document, its companion slide deck, and the clickable HTML prototype together form one product proposal. All three carry the same screen names and metrics so they can be read interchangeably.</w:t>
      </w:r>
    </w:p>
    <w:p>
      <w:r>
        <w:br w:type="page"/>
      </w:r>
    </w:p>
    <w:p>
      <w:pPr>
        <w:pStyle w:val="Heading1"/>
        <w:pBdr>
          <w:bottom w:val="single" w:color="E23744" w:sz="10" w:space="6"/>
        </w:pBdr>
        <w:spacing w:after="200" w:before="420"/>
      </w:pPr>
      <w:r>
        <w:t xml:space="preserve">Contents</w:t>
      </w:r>
    </w:p>
    <w:p>
      <w:pPr>
        <w:tabs>
          <w:tab w:val="right" w:pos="9026" w:leader="dot"/>
        </w:tabs>
        <w:spacing w:after="120"/>
      </w:pPr>
      <w:r>
        <w:rPr>
          <w:rFonts w:ascii="Calibri" w:cs="Calibri" w:eastAsia="Calibri" w:hAnsi="Calibri"/>
          <w:color w:val="1F2933"/>
          <w:sz w:val="22"/>
          <w:szCs w:val="22"/>
        </w:rPr>
        <w:t xml:space="preserve">1. Executive Summary</w:t>
      </w:r>
    </w:p>
    <w:p>
      <w:pPr>
        <w:tabs>
          <w:tab w:val="right" w:pos="9026" w:leader="dot"/>
        </w:tabs>
        <w:spacing w:after="120"/>
      </w:pPr>
      <w:r>
        <w:rPr>
          <w:rFonts w:ascii="Calibri" w:cs="Calibri" w:eastAsia="Calibri" w:hAnsi="Calibri"/>
          <w:color w:val="1F2933"/>
          <w:sz w:val="22"/>
          <w:szCs w:val="22"/>
        </w:rPr>
        <w:t xml:space="preserve">2. Problem Statement</w:t>
      </w:r>
    </w:p>
    <w:p>
      <w:pPr>
        <w:tabs>
          <w:tab w:val="right" w:pos="9026" w:leader="dot"/>
        </w:tabs>
        <w:spacing w:after="120"/>
      </w:pPr>
      <w:r>
        <w:rPr>
          <w:rFonts w:ascii="Calibri" w:cs="Calibri" w:eastAsia="Calibri" w:hAnsi="Calibri"/>
          <w:color w:val="1F2933"/>
          <w:sz w:val="22"/>
          <w:szCs w:val="22"/>
        </w:rPr>
        <w:t xml:space="preserve">3. User Research</w:t>
      </w:r>
    </w:p>
    <w:p>
      <w:pPr>
        <w:tabs>
          <w:tab w:val="right" w:pos="9026" w:leader="dot"/>
        </w:tabs>
        <w:spacing w:after="120"/>
      </w:pPr>
      <w:r>
        <w:rPr>
          <w:rFonts w:ascii="Calibri" w:cs="Calibri" w:eastAsia="Calibri" w:hAnsi="Calibri"/>
          <w:color w:val="1F2933"/>
          <w:sz w:val="22"/>
          <w:szCs w:val="22"/>
        </w:rPr>
        <w:t xml:space="preserve">4. Current Experience Audit (Before)</w:t>
      </w:r>
    </w:p>
    <w:p>
      <w:pPr>
        <w:tabs>
          <w:tab w:val="right" w:pos="9026" w:leader="dot"/>
        </w:tabs>
        <w:spacing w:after="120"/>
      </w:pPr>
      <w:r>
        <w:rPr>
          <w:rFonts w:ascii="Calibri" w:cs="Calibri" w:eastAsia="Calibri" w:hAnsi="Calibri"/>
          <w:color w:val="1F2933"/>
          <w:sz w:val="22"/>
          <w:szCs w:val="22"/>
        </w:rPr>
        <w:t xml:space="preserve">5. Redesigned Experience — Privacy Hub v2 (After)</w:t>
      </w:r>
    </w:p>
    <w:p>
      <w:pPr>
        <w:tabs>
          <w:tab w:val="right" w:pos="9026" w:leader="dot"/>
        </w:tabs>
        <w:spacing w:after="120"/>
      </w:pPr>
      <w:r>
        <w:rPr>
          <w:rFonts w:ascii="Calibri" w:cs="Calibri" w:eastAsia="Calibri" w:hAnsi="Calibri"/>
          <w:color w:val="1F2933"/>
          <w:sz w:val="22"/>
          <w:szCs w:val="22"/>
        </w:rPr>
        <w:t xml:space="preserve">6. Feature Deep Dives</w:t>
      </w:r>
    </w:p>
    <w:p>
      <w:pPr>
        <w:tabs>
          <w:tab w:val="right" w:pos="9026" w:leader="dot"/>
        </w:tabs>
        <w:spacing w:after="120"/>
      </w:pPr>
      <w:r>
        <w:rPr>
          <w:rFonts w:ascii="Calibri" w:cs="Calibri" w:eastAsia="Calibri" w:hAnsi="Calibri"/>
          <w:color w:val="1F2933"/>
          <w:sz w:val="22"/>
          <w:szCs w:val="22"/>
        </w:rPr>
        <w:t xml:space="preserve">7. Information Architecture</w:t>
      </w:r>
    </w:p>
    <w:p>
      <w:pPr>
        <w:tabs>
          <w:tab w:val="right" w:pos="9026" w:leader="dot"/>
        </w:tabs>
        <w:spacing w:after="120"/>
      </w:pPr>
      <w:r>
        <w:rPr>
          <w:rFonts w:ascii="Calibri" w:cs="Calibri" w:eastAsia="Calibri" w:hAnsi="Calibri"/>
          <w:color w:val="1F2933"/>
          <w:sz w:val="22"/>
          <w:szCs w:val="22"/>
        </w:rPr>
        <w:t xml:space="preserve">8. System Design Overview</w:t>
      </w:r>
    </w:p>
    <w:p>
      <w:pPr>
        <w:tabs>
          <w:tab w:val="right" w:pos="9026" w:leader="dot"/>
        </w:tabs>
        <w:spacing w:after="120"/>
      </w:pPr>
      <w:r>
        <w:rPr>
          <w:rFonts w:ascii="Calibri" w:cs="Calibri" w:eastAsia="Calibri" w:hAnsi="Calibri"/>
          <w:color w:val="1F2933"/>
          <w:sz w:val="22"/>
          <w:szCs w:val="22"/>
        </w:rPr>
        <w:t xml:space="preserve">9. Database Design</w:t>
      </w:r>
    </w:p>
    <w:p>
      <w:pPr>
        <w:tabs>
          <w:tab w:val="right" w:pos="9026" w:leader="dot"/>
        </w:tabs>
        <w:spacing w:after="120"/>
      </w:pPr>
      <w:r>
        <w:rPr>
          <w:rFonts w:ascii="Calibri" w:cs="Calibri" w:eastAsia="Calibri" w:hAnsi="Calibri"/>
          <w:color w:val="1F2933"/>
          <w:sz w:val="22"/>
          <w:szCs w:val="22"/>
        </w:rPr>
        <w:t xml:space="preserve">10. API Design (Representative Endpoints)</w:t>
      </w:r>
    </w:p>
    <w:p>
      <w:pPr>
        <w:tabs>
          <w:tab w:val="right" w:pos="9026" w:leader="dot"/>
        </w:tabs>
        <w:spacing w:after="120"/>
      </w:pPr>
      <w:r>
        <w:rPr>
          <w:rFonts w:ascii="Calibri" w:cs="Calibri" w:eastAsia="Calibri" w:hAnsi="Calibri"/>
          <w:color w:val="1F2933"/>
          <w:sz w:val="22"/>
          <w:szCs w:val="22"/>
        </w:rPr>
        <w:t xml:space="preserve">11. Security Architecture</w:t>
      </w:r>
    </w:p>
    <w:p>
      <w:pPr>
        <w:tabs>
          <w:tab w:val="right" w:pos="9026" w:leader="dot"/>
        </w:tabs>
        <w:spacing w:after="120"/>
      </w:pPr>
      <w:r>
        <w:rPr>
          <w:rFonts w:ascii="Calibri" w:cs="Calibri" w:eastAsia="Calibri" w:hAnsi="Calibri"/>
          <w:color w:val="1F2933"/>
          <w:sz w:val="22"/>
          <w:szCs w:val="22"/>
        </w:rPr>
        <w:t xml:space="preserve">12. DPDP Act, 2023 — Compliance Mapping</w:t>
      </w:r>
    </w:p>
    <w:p>
      <w:pPr>
        <w:tabs>
          <w:tab w:val="right" w:pos="9026" w:leader="dot"/>
        </w:tabs>
        <w:spacing w:after="120"/>
      </w:pPr>
      <w:r>
        <w:rPr>
          <w:rFonts w:ascii="Calibri" w:cs="Calibri" w:eastAsia="Calibri" w:hAnsi="Calibri"/>
          <w:color w:val="1F2933"/>
          <w:sz w:val="22"/>
          <w:szCs w:val="22"/>
        </w:rPr>
        <w:t xml:space="preserve">13. Metrics &amp; Success Criteria</w:t>
      </w:r>
    </w:p>
    <w:p>
      <w:pPr>
        <w:tabs>
          <w:tab w:val="right" w:pos="9026" w:leader="dot"/>
        </w:tabs>
        <w:spacing w:after="120"/>
      </w:pPr>
      <w:r>
        <w:rPr>
          <w:rFonts w:ascii="Calibri" w:cs="Calibri" w:eastAsia="Calibri" w:hAnsi="Calibri"/>
          <w:color w:val="1F2933"/>
          <w:sz w:val="22"/>
          <w:szCs w:val="22"/>
        </w:rPr>
        <w:t xml:space="preserve">14. Diagnostic Thinking — North Star Drop</w:t>
      </w:r>
    </w:p>
    <w:p>
      <w:pPr>
        <w:tabs>
          <w:tab w:val="right" w:pos="9026" w:leader="dot"/>
        </w:tabs>
        <w:spacing w:after="120"/>
      </w:pPr>
      <w:r>
        <w:rPr>
          <w:rFonts w:ascii="Calibri" w:cs="Calibri" w:eastAsia="Calibri" w:hAnsi="Calibri"/>
          <w:color w:val="1F2933"/>
          <w:sz w:val="22"/>
          <w:szCs w:val="22"/>
        </w:rPr>
        <w:t xml:space="preserve">15. Rollout Strategy</w:t>
      </w:r>
    </w:p>
    <w:p>
      <w:pPr>
        <w:tabs>
          <w:tab w:val="right" w:pos="9026" w:leader="dot"/>
        </w:tabs>
        <w:spacing w:after="120"/>
      </w:pPr>
      <w:r>
        <w:rPr>
          <w:rFonts w:ascii="Calibri" w:cs="Calibri" w:eastAsia="Calibri" w:hAnsi="Calibri"/>
          <w:color w:val="1F2933"/>
          <w:sz w:val="22"/>
          <w:szCs w:val="22"/>
        </w:rPr>
        <w:t xml:space="preserve">16. Risks &amp; Trade-offs</w:t>
      </w:r>
    </w:p>
    <w:p>
      <w:pPr>
        <w:tabs>
          <w:tab w:val="right" w:pos="9026" w:leader="dot"/>
        </w:tabs>
        <w:spacing w:after="120"/>
      </w:pPr>
      <w:r>
        <w:rPr>
          <w:rFonts w:ascii="Calibri" w:cs="Calibri" w:eastAsia="Calibri" w:hAnsi="Calibri"/>
          <w:color w:val="1F2933"/>
          <w:sz w:val="22"/>
          <w:szCs w:val="22"/>
        </w:rPr>
        <w:t xml:space="preserve">17. 24-Month Roadmap</w:t>
      </w:r>
    </w:p>
    <w:p>
      <w:pPr>
        <w:tabs>
          <w:tab w:val="right" w:pos="9026" w:leader="dot"/>
        </w:tabs>
        <w:spacing w:after="120"/>
      </w:pPr>
      <w:r>
        <w:rPr>
          <w:rFonts w:ascii="Calibri" w:cs="Calibri" w:eastAsia="Calibri" w:hAnsi="Calibri"/>
          <w:color w:val="1F2933"/>
          <w:sz w:val="22"/>
          <w:szCs w:val="22"/>
        </w:rPr>
        <w:t xml:space="preserve">18. Why This Solution Wins</w:t>
      </w:r>
    </w:p>
    <w:p>
      <w:pPr>
        <w:tabs>
          <w:tab w:val="right" w:pos="9026" w:leader="dot"/>
        </w:tabs>
        <w:spacing w:after="120"/>
      </w:pPr>
      <w:r>
        <w:rPr>
          <w:rFonts w:ascii="Calibri" w:cs="Calibri" w:eastAsia="Calibri" w:hAnsi="Calibri"/>
          <w:color w:val="1F2933"/>
          <w:sz w:val="22"/>
          <w:szCs w:val="22"/>
        </w:rPr>
        <w:t xml:space="preserve">19. Appendix — Prototype Screen Reference</w:t>
      </w:r>
    </w:p>
    <w:p>
      <w:r>
        <w:br w:type="page"/>
      </w:r>
    </w:p>
    <w:p>
      <w:pPr>
        <w:pStyle w:val="Heading1"/>
        <w:pBdr>
          <w:bottom w:val="single" w:color="E23744" w:sz="10" w:space="6"/>
        </w:pBdr>
        <w:spacing w:after="200" w:before="420"/>
      </w:pPr>
      <w:r>
        <w:t xml:space="preserve">1. Executive Summary</w:t>
      </w:r>
    </w:p>
    <w:p>
      <w:pPr>
        <w:pStyle w:val="Heading2"/>
        <w:spacing w:after="140" w:before="300"/>
      </w:pPr>
      <w:r>
        <w:t xml:space="preserve">Vision</w:t>
      </w:r>
    </w:p>
    <w:p>
      <w:pPr>
        <w:spacing w:after="160" w:line="300"/>
      </w:pPr>
      <w:r>
        <w:rPr>
          <w:rFonts w:ascii="Calibri" w:cs="Calibri" w:eastAsia="Calibri" w:hAnsi="Calibri"/>
          <w:color w:val="1F2933"/>
          <w:sz w:val="22"/>
          <w:szCs w:val="22"/>
        </w:rPr>
        <w:t xml:space="preserve">Privacy at Zomato should feel like a feature you'd brag about, not a policy you tolerate. Every person ordering food should be able to see, in plain language, exactly what we know, why we know it, and how to change their mind — in under three taps.</w:t>
      </w:r>
    </w:p>
    <w:p>
      <w:pPr>
        <w:pStyle w:val="Heading2"/>
        <w:spacing w:after="140" w:before="300"/>
      </w:pPr>
      <w:r>
        <w:t xml:space="preserve">Mission</w:t>
      </w:r>
    </w:p>
    <w:p>
      <w:pPr>
        <w:spacing w:after="160" w:line="300"/>
      </w:pPr>
      <w:r>
        <w:rPr>
          <w:rFonts w:ascii="Calibri" w:cs="Calibri" w:eastAsia="Calibri" w:hAnsi="Calibri"/>
          <w:color w:val="1F2933"/>
          <w:sz w:val="22"/>
          <w:szCs w:val="22"/>
        </w:rPr>
        <w:t xml:space="preserve">Replace one bundled consent checkbox with a purpose-wise, self-serve Privacy Hub that satisfies the Digital Personal Data Protection Act, 2023 (“DPDP Act”) end-to-end, while measurably improving trust, retention and personalization opt-in.</w:t>
      </w:r>
    </w:p>
    <w:p>
      <w:pPr>
        <w:pStyle w:val="Heading2"/>
        <w:spacing w:after="140" w:before="300"/>
      </w:pPr>
      <w:r>
        <w:t xml:space="preserve">Product Philosophy</w:t>
      </w:r>
    </w:p>
    <w:p>
      <w:pPr>
        <w:pStyle w:val="ListParagraph"/>
        <w:numPr>
          <w:ilvl w:val="0"/>
          <w:numId w:val="1"/>
        </w:numPr>
        <w:spacing w:after="90" w:line="290"/>
      </w:pPr>
      <w:r>
        <w:rPr>
          <w:rFonts w:ascii="Calibri" w:cs="Calibri" w:eastAsia="Calibri" w:hAnsi="Calibri"/>
          <w:color w:val="1F2933"/>
          <w:sz w:val="22"/>
          <w:szCs w:val="22"/>
        </w:rPr>
        <w:t xml:space="preserve">Consent is a conversation, not a checkbox — ask for one purpose at a time, in the moment it's needed.</w:t>
      </w:r>
    </w:p>
    <w:p>
      <w:pPr>
        <w:pStyle w:val="ListParagraph"/>
        <w:numPr>
          <w:ilvl w:val="0"/>
          <w:numId w:val="1"/>
        </w:numPr>
        <w:spacing w:after="90" w:line="290"/>
      </w:pPr>
      <w:r>
        <w:rPr>
          <w:rFonts w:ascii="Calibri" w:cs="Calibri" w:eastAsia="Calibri" w:hAnsi="Calibri"/>
          <w:color w:val="1F2933"/>
          <w:sz w:val="22"/>
          <w:szCs w:val="22"/>
        </w:rPr>
        <w:t xml:space="preserve">Every control a user can see, they can also change — no setting is one-way.</w:t>
      </w:r>
    </w:p>
    <w:p>
      <w:pPr>
        <w:pStyle w:val="ListParagraph"/>
        <w:numPr>
          <w:ilvl w:val="0"/>
          <w:numId w:val="1"/>
        </w:numPr>
        <w:spacing w:after="90" w:line="290"/>
      </w:pPr>
      <w:r>
        <w:rPr>
          <w:rFonts w:ascii="Calibri" w:cs="Calibri" w:eastAsia="Calibri" w:hAnsi="Calibri"/>
          <w:color w:val="1F2933"/>
          <w:sz w:val="22"/>
          <w:szCs w:val="22"/>
        </w:rPr>
        <w:t xml:space="preserve">Compliance is the floor, not the ceiling — DPDP sets the minimum; trust is the product.</w:t>
      </w:r>
    </w:p>
    <w:p>
      <w:pPr>
        <w:pStyle w:val="ListParagraph"/>
        <w:numPr>
          <w:ilvl w:val="0"/>
          <w:numId w:val="1"/>
        </w:numPr>
        <w:spacing w:after="90" w:line="290"/>
      </w:pPr>
      <w:r>
        <w:rPr>
          <w:rFonts w:ascii="Calibri" w:cs="Calibri" w:eastAsia="Calibri" w:hAnsi="Calibri"/>
          <w:color w:val="1F2933"/>
          <w:sz w:val="22"/>
          <w:szCs w:val="22"/>
        </w:rPr>
        <w:t xml:space="preserve">Self-serve first — rights requests should resolve in hours, not the 30-day statutory ceiling.</w:t>
      </w:r>
    </w:p>
    <w:p>
      <w:pPr>
        <w:pStyle w:val="Heading2"/>
        <w:spacing w:after="140" w:before="300"/>
      </w:pPr>
      <w:r>
        <w:t xml:space="preserve">Opportunity</w:t>
      </w:r>
    </w:p>
    <w:p>
      <w:pPr>
        <w:spacing w:after="160" w:line="300"/>
      </w:pPr>
      <w:r>
        <w:rPr>
          <w:rFonts w:ascii="Calibri" w:cs="Calibri" w:eastAsia="Calibri" w:hAnsi="Calibri"/>
          <w:color w:val="1F2933"/>
          <w:sz w:val="22"/>
          <w:szCs w:val="22"/>
        </w:rPr>
        <w:t xml:space="preserve">Zomato collects location, payment, order-history, and communication data across three consumer surfaces (Zomato, Blinkit, District). Today's consent is a single bundled acceptance at signup, with privacy settings buried three levels deep in Account. This creates three converging pressures: the DPDP Act's purpose-limitation and notice requirements (in force from 2023, rules operationalised through 2025–26), rising user sensitivity to data sharing after high-profile breaches in India's consumer-tech sector, and a support queue where data-access and deletion requests are still handled as manual tickets.</w:t>
      </w:r>
    </w:p>
    <w:p>
      <w:pPr>
        <w:pStyle w:val="Heading2"/>
        <w:spacing w:after="140" w:before="300"/>
      </w:pPr>
      <w:r>
        <w:t xml:space="preserve">Business Context</w:t>
      </w:r>
    </w:p>
    <w:p>
      <w:pPr>
        <w:spacing w:after="160" w:line="300"/>
      </w:pPr>
      <w:r>
        <w:rPr>
          <w:rFonts w:ascii="Calibri" w:cs="Calibri" w:eastAsia="Calibri" w:hAnsi="Calibri"/>
          <w:color w:val="1F2933"/>
          <w:sz w:val="22"/>
          <w:szCs w:val="22"/>
        </w:rPr>
        <w:t xml:space="preserve">Support data (internal, illustrative) shows privacy and account-deletion queries are a top-10 contact driver, with multi-day resolution times. Marketing consent opt-in is under 60%, capping the addressable audience for retention campaigns. Meanwhile, regulatory scrutiny of consent design (“dark patterns”) has increased across Indian consumer apps, raising the cost of getting this wrong.</w:t>
      </w:r>
    </w:p>
    <w:p>
      <w:pPr>
        <w:pStyle w:val="Heading2"/>
        <w:spacing w:after="140" w:before="300"/>
      </w:pPr>
      <w:r>
        <w:t xml:space="preserve">Strategic Objectives</w:t>
      </w:r>
    </w:p>
    <w:p>
      <w:pPr>
        <w:pStyle w:val="ListParagraph"/>
        <w:numPr>
          <w:ilvl w:val="0"/>
          <w:numId w:val="1"/>
        </w:numPr>
        <w:spacing w:after="90" w:line="290"/>
      </w:pPr>
      <w:r>
        <w:rPr>
          <w:rFonts w:ascii="Calibri" w:cs="Calibri" w:eastAsia="Calibri" w:hAnsi="Calibri"/>
          <w:color w:val="1F2933"/>
          <w:sz w:val="22"/>
          <w:szCs w:val="22"/>
        </w:rPr>
        <w:t xml:space="preserve">Achieve verifiable, purpose-wise consent for 100% of new signups within two quarters of launch.</w:t>
      </w:r>
    </w:p>
    <w:p>
      <w:pPr>
        <w:pStyle w:val="ListParagraph"/>
        <w:numPr>
          <w:ilvl w:val="0"/>
          <w:numId w:val="1"/>
        </w:numPr>
        <w:spacing w:after="90" w:line="290"/>
      </w:pPr>
      <w:r>
        <w:rPr>
          <w:rFonts w:ascii="Calibri" w:cs="Calibri" w:eastAsia="Calibri" w:hAnsi="Calibri"/>
          <w:color w:val="1F2933"/>
          <w:sz w:val="22"/>
          <w:szCs w:val="22"/>
        </w:rPr>
        <w:t xml:space="preserve">Cut privacy-related support tickets by making Download, Delete, and Grievance flows fully self-serve.</w:t>
      </w:r>
    </w:p>
    <w:p>
      <w:pPr>
        <w:pStyle w:val="ListParagraph"/>
        <w:numPr>
          <w:ilvl w:val="0"/>
          <w:numId w:val="1"/>
        </w:numPr>
        <w:spacing w:after="90" w:line="290"/>
      </w:pPr>
      <w:r>
        <w:rPr>
          <w:rFonts w:ascii="Calibri" w:cs="Calibri" w:eastAsia="Calibri" w:hAnsi="Calibri"/>
          <w:color w:val="1F2933"/>
          <w:sz w:val="22"/>
          <w:szCs w:val="22"/>
        </w:rPr>
        <w:t xml:space="preserve">Lift marketing opt-in by making the trade-off transparent (channel-level control, not all-or-nothing).</w:t>
      </w:r>
    </w:p>
    <w:p>
      <w:pPr>
        <w:pStyle w:val="ListParagraph"/>
        <w:numPr>
          <w:ilvl w:val="0"/>
          <w:numId w:val="1"/>
        </w:numPr>
        <w:spacing w:after="90" w:line="290"/>
      </w:pPr>
      <w:r>
        <w:rPr>
          <w:rFonts w:ascii="Calibri" w:cs="Calibri" w:eastAsia="Calibri" w:hAnsi="Calibri"/>
          <w:color w:val="1F2933"/>
          <w:sz w:val="22"/>
          <w:szCs w:val="22"/>
        </w:rPr>
        <w:t xml:space="preserve">Ship a reusable Consent Service that Blinkit and District can adopt, avoiding three parallel implementations.</w:t>
      </w:r>
    </w:p>
    <w:p>
      <w:pPr>
        <w:pStyle w:val="Heading2"/>
        <w:spacing w:after="140" w:before="300"/>
      </w:pPr>
      <w:r>
        <w:t xml:space="preserve">Why Privacy Becomes Zomato's Competitive Advantage</w:t>
      </w:r>
    </w:p>
    <w:p>
      <w:pPr>
        <w:spacing w:after="160" w:line="300"/>
      </w:pPr>
      <w:r>
        <w:rPr>
          <w:rFonts w:ascii="Calibri" w:cs="Calibri" w:eastAsia="Calibri" w:hAnsi="Calibri"/>
          <w:color w:val="1F2933"/>
          <w:sz w:val="22"/>
          <w:szCs w:val="22"/>
        </w:rPr>
        <w:t xml:space="preserve">Any competitor can copy a feature. Few can copy earned trust. A user who understands and controls their data is more likely to enable location for better delivery accuracy, opt into personalization that actually improves recommendations, and stay on the platform through a competitor's price-driven promotion. Privacy Hub turns a legal obligation into a trust asset that compounds with every order.</w:t>
      </w:r>
    </w:p>
    <w:p>
      <w:r>
        <w:br w:type="page"/>
      </w:r>
    </w:p>
    <w:p>
      <w:pPr>
        <w:pStyle w:val="Heading1"/>
        <w:pBdr>
          <w:bottom w:val="single" w:color="E23744" w:sz="10" w:space="6"/>
        </w:pBdr>
        <w:spacing w:after="200" w:before="420"/>
      </w:pPr>
      <w:r>
        <w:t xml:space="preserve">2. Problem Statement</w:t>
      </w:r>
    </w:p>
    <w:p>
      <w:pPr>
        <w:pStyle w:val="Heading2"/>
        <w:spacing w:after="140" w:before="300"/>
      </w:pPr>
      <w:r>
        <w:t xml:space="preserve">Business Problem</w:t>
      </w:r>
    </w:p>
    <w:p>
      <w:pPr>
        <w:spacing w:after="160" w:line="300"/>
      </w:pPr>
      <w:r>
        <w:rPr>
          <w:rFonts w:ascii="Calibri" w:cs="Calibri" w:eastAsia="Calibri" w:hAnsi="Calibri"/>
          <w:color w:val="1F2933"/>
          <w:sz w:val="22"/>
          <w:szCs w:val="22"/>
        </w:rPr>
        <w:t xml:space="preserve">Consent, notice and rights-handling are fragmented across teams (growth owns marketing opt-in, legal owns the privacy policy, support owns deletion tickets), with no single system of record for “what did this user agree to, and when.” This creates audit risk and duplicated engineering effort across Zomato, Blinkit and District.</w:t>
      </w:r>
    </w:p>
    <w:p>
      <w:pPr>
        <w:pStyle w:val="Heading2"/>
        <w:spacing w:after="140" w:before="300"/>
      </w:pPr>
      <w:r>
        <w:t xml:space="preserve">User Problem</w:t>
      </w:r>
    </w:p>
    <w:p>
      <w:pPr>
        <w:spacing w:after="160" w:line="300"/>
      </w:pPr>
      <w:r>
        <w:rPr>
          <w:rFonts w:ascii="Calibri" w:cs="Calibri" w:eastAsia="Calibri" w:hAnsi="Calibri"/>
          <w:color w:val="1F2933"/>
          <w:sz w:val="22"/>
          <w:szCs w:val="22"/>
        </w:rPr>
        <w:t xml:space="preserve">Priya cannot tell, without contacting support, whether the restaurant she ordered from can see her phone number, or why she's seeing a specific offer. Turning off one thing (marketing) feels like it might break another (order tracking), because the current toggle is bundled.</w:t>
      </w:r>
    </w:p>
    <w:p>
      <w:pPr>
        <w:pStyle w:val="Heading2"/>
        <w:spacing w:after="140" w:before="300"/>
      </w:pPr>
      <w:r>
        <w:t xml:space="preserve">Legal Problem</w:t>
      </w:r>
    </w:p>
    <w:p>
      <w:pPr>
        <w:spacing w:after="160" w:line="300"/>
      </w:pPr>
      <w:r>
        <w:rPr>
          <w:rFonts w:ascii="Calibri" w:cs="Calibri" w:eastAsia="Calibri" w:hAnsi="Calibri"/>
          <w:color w:val="1F2933"/>
          <w:sz w:val="22"/>
          <w:szCs w:val="22"/>
        </w:rPr>
        <w:t xml:space="preserve">The DPDP Act requires itemised notice, purpose limitation, easy consent withdrawal “as easy as it was to give,” a named Grievance Officer, and timely response to access/erasure/correction requests. A single bundled consent checkbox and a support-ticket-based deletion process do not meet this bar.</w:t>
      </w:r>
    </w:p>
    <w:p>
      <w:pPr>
        <w:pStyle w:val="Heading2"/>
        <w:spacing w:after="140" w:before="300"/>
      </w:pPr>
      <w:r>
        <w:t xml:space="preserve">Trust Problem</w:t>
      </w:r>
    </w:p>
    <w:p>
      <w:pPr>
        <w:spacing w:after="160" w:line="300"/>
      </w:pPr>
      <w:r>
        <w:rPr>
          <w:rFonts w:ascii="Calibri" w:cs="Calibri" w:eastAsia="Calibri" w:hAnsi="Calibri"/>
          <w:color w:val="1F2933"/>
          <w:sz w:val="22"/>
          <w:szCs w:val="22"/>
        </w:rPr>
        <w:t xml:space="preserve">Bundled consent and buried settings read as a dark pattern even when unintentional. Trust, once lost to a visible privacy misstep, is expensive to rebuild and shows up in churn and store-review sentiment.</w:t>
      </w:r>
    </w:p>
    <w:p>
      <w:pPr>
        <w:pStyle w:val="Heading2"/>
        <w:spacing w:after="140" w:before="300"/>
      </w:pPr>
      <w:r>
        <w:t xml:space="preserve">Growth Problem</w:t>
      </w:r>
    </w:p>
    <w:p>
      <w:pPr>
        <w:spacing w:after="160" w:line="300"/>
      </w:pPr>
      <w:r>
        <w:rPr>
          <w:rFonts w:ascii="Calibri" w:cs="Calibri" w:eastAsia="Calibri" w:hAnsi="Calibri"/>
          <w:color w:val="1F2933"/>
          <w:sz w:val="22"/>
          <w:szCs w:val="22"/>
        </w:rPr>
        <w:t xml:space="preserve">Low marketing and personalization opt-in shrinks the addressable base for retention lifecycle campaigns and recommendation quality, directly capping repeat-order frequency.</w:t>
      </w:r>
    </w:p>
    <w:p>
      <w:r>
        <w:br w:type="page"/>
      </w:r>
    </w:p>
    <w:p>
      <w:pPr>
        <w:pStyle w:val="Heading1"/>
        <w:pBdr>
          <w:bottom w:val="single" w:color="E23744" w:sz="10" w:space="6"/>
        </w:pBdr>
        <w:spacing w:after="200" w:before="420"/>
      </w:pPr>
      <w:r>
        <w:t xml:space="preserve">3. User Research</w:t>
      </w:r>
    </w:p>
    <w:p>
      <w:pPr>
        <w:pStyle w:val="Heading2"/>
        <w:spacing w:after="140" w:before="300"/>
      </w:pPr>
      <w:r>
        <w:t xml:space="preserve">Primary Persona — Priya Sharma, 26, Product Analyst, Bengaluru</w:t>
      </w:r>
    </w:p>
    <w:p>
      <w:pPr>
        <w:spacing w:after="160" w:line="300"/>
      </w:pPr>
      <w:r>
        <w:rPr>
          <w:rFonts w:ascii="Calibri" w:cs="Calibri" w:eastAsia="Calibri" w:hAnsi="Calibri"/>
          <w:color w:val="1F2933"/>
          <w:sz w:val="22"/>
          <w:szCs w:val="22"/>
        </w:rPr>
        <w:t xml:space="preserve">Orders 4–6 times a week across lunch and late-night. Privacy-conscious but not privacy-paranoid: she wants convenience and is willing to trade some data for better recommendations, provided she understands and controls the trade.</w:t>
      </w:r>
    </w:p>
    <w:p>
      <w:pPr>
        <w:pStyle w:val="ListParagraph"/>
        <w:numPr>
          <w:ilvl w:val="0"/>
          <w:numId w:val="1"/>
        </w:numPr>
        <w:spacing w:after="90" w:line="290"/>
      </w:pPr>
      <w:r>
        <w:rPr>
          <w:rFonts w:ascii="Calibri" w:cs="Calibri" w:eastAsia="Calibri" w:hAnsi="Calibri"/>
          <w:b/>
          <w:bCs/>
          <w:color w:val="1F2933"/>
          <w:sz w:val="22"/>
          <w:szCs w:val="22"/>
        </w:rPr>
        <w:t xml:space="preserve">Needs — </w:t>
      </w:r>
      <w:r>
        <w:rPr>
          <w:rFonts w:ascii="Calibri" w:cs="Calibri" w:eastAsia="Calibri" w:hAnsi="Calibri"/>
          <w:color w:val="1F2933"/>
          <w:sz w:val="22"/>
          <w:szCs w:val="22"/>
        </w:rPr>
        <w:t xml:space="preserve">Know exactly who has her phone number and live location during a delivery.</w:t>
      </w:r>
    </w:p>
    <w:p>
      <w:pPr>
        <w:pStyle w:val="ListParagraph"/>
        <w:numPr>
          <w:ilvl w:val="0"/>
          <w:numId w:val="1"/>
        </w:numPr>
        <w:spacing w:after="90" w:line="290"/>
      </w:pPr>
      <w:r>
        <w:rPr>
          <w:rFonts w:ascii="Calibri" w:cs="Calibri" w:eastAsia="Calibri" w:hAnsi="Calibri"/>
          <w:b/>
          <w:bCs/>
          <w:color w:val="1F2933"/>
          <w:sz w:val="22"/>
          <w:szCs w:val="22"/>
        </w:rPr>
        <w:t xml:space="preserve">Needs — </w:t>
      </w:r>
      <w:r>
        <w:rPr>
          <w:rFonts w:ascii="Calibri" w:cs="Calibri" w:eastAsia="Calibri" w:hAnsi="Calibri"/>
          <w:color w:val="1F2933"/>
          <w:sz w:val="22"/>
          <w:szCs w:val="22"/>
        </w:rPr>
        <w:t xml:space="preserve">Turn off marketing without worrying it will affect order tracking.</w:t>
      </w:r>
    </w:p>
    <w:p>
      <w:pPr>
        <w:pStyle w:val="ListParagraph"/>
        <w:numPr>
          <w:ilvl w:val="0"/>
          <w:numId w:val="1"/>
        </w:numPr>
        <w:spacing w:after="90" w:line="290"/>
      </w:pPr>
      <w:r>
        <w:rPr>
          <w:rFonts w:ascii="Calibri" w:cs="Calibri" w:eastAsia="Calibri" w:hAnsi="Calibri"/>
          <w:b/>
          <w:bCs/>
          <w:color w:val="1F2933"/>
          <w:sz w:val="22"/>
          <w:szCs w:val="22"/>
        </w:rPr>
        <w:t xml:space="preserve">Motivations — </w:t>
      </w:r>
      <w:r>
        <w:rPr>
          <w:rFonts w:ascii="Calibri" w:cs="Calibri" w:eastAsia="Calibri" w:hAnsi="Calibri"/>
          <w:color w:val="1F2933"/>
          <w:sz w:val="22"/>
          <w:szCs w:val="22"/>
        </w:rPr>
        <w:t xml:space="preserve">Control without friction — she will not read a privacy policy, but will tap through a 3-step onboarding.</w:t>
      </w:r>
    </w:p>
    <w:p>
      <w:pPr>
        <w:pStyle w:val="ListParagraph"/>
        <w:numPr>
          <w:ilvl w:val="0"/>
          <w:numId w:val="1"/>
        </w:numPr>
        <w:spacing w:after="90" w:line="290"/>
      </w:pPr>
      <w:r>
        <w:rPr>
          <w:rFonts w:ascii="Calibri" w:cs="Calibri" w:eastAsia="Calibri" w:hAnsi="Calibri"/>
          <w:b/>
          <w:bCs/>
          <w:color w:val="1F2933"/>
          <w:sz w:val="22"/>
          <w:szCs w:val="22"/>
        </w:rPr>
        <w:t xml:space="preserve">Privacy expectation — </w:t>
      </w:r>
      <w:r>
        <w:rPr>
          <w:rFonts w:ascii="Calibri" w:cs="Calibri" w:eastAsia="Calibri" w:hAnsi="Calibri"/>
          <w:color w:val="1F2933"/>
          <w:sz w:val="22"/>
          <w:szCs w:val="22"/>
        </w:rPr>
        <w:t xml:space="preserve">“If you're going to use my data, tell me for what, and let me say no to just that one thing.”</w:t>
      </w:r>
    </w:p>
    <w:p>
      <w:pPr>
        <w:pStyle w:val="Heading2"/>
        <w:spacing w:after="140" w:before="300"/>
      </w:pPr>
      <w:r>
        <w:t xml:space="preserve">Interview-style Insight (illustrative)</w:t>
      </w:r>
    </w:p>
    <w:p>
      <w:pPr>
        <w:spacing w:after="160" w:line="300"/>
      </w:pPr>
      <w:r>
        <w:rPr>
          <w:rFonts w:ascii="Calibri" w:cs="Calibri" w:eastAsia="Calibri" w:hAnsi="Calibri"/>
          <w:color w:val="1F2933"/>
          <w:sz w:val="22"/>
          <w:szCs w:val="22"/>
        </w:rPr>
        <w:t xml:space="preserve">“I didn't know restaurants could see my order history with them until a waiter mentioned my usual order. It wasn't creepy, but I wish I'd been told.” — synthesised from support-ticket and app-review themes.</w:t>
      </w:r>
    </w:p>
    <w:p>
      <w:pPr>
        <w:pStyle w:val="Heading2"/>
        <w:spacing w:after="140" w:before="300"/>
      </w:pPr>
      <w:r>
        <w:t xml:space="preserve">Restaurant Partner Perspective</w:t>
      </w:r>
    </w:p>
    <w:p>
      <w:pPr>
        <w:spacing w:after="160" w:line="300"/>
      </w:pPr>
      <w:r>
        <w:rPr>
          <w:rFonts w:ascii="Calibri" w:cs="Calibri" w:eastAsia="Calibri" w:hAnsi="Calibri"/>
          <w:color w:val="1F2933"/>
          <w:sz w:val="22"/>
          <w:szCs w:val="22"/>
        </w:rPr>
        <w:t xml:space="preserve">Partners want the minimum data needed to prepare and personalise service (allergy notes, repeat-customer recognition) without taking on liability for data they don't need — field-level sharing controls reduce partner-side compliance burden too.</w:t>
      </w:r>
    </w:p>
    <w:p>
      <w:pPr>
        <w:pStyle w:val="Heading2"/>
        <w:spacing w:after="140" w:before="300"/>
      </w:pPr>
      <w:r>
        <w:t xml:space="preserve">Delivery Partner Perspective</w:t>
      </w:r>
    </w:p>
    <w:p>
      <w:pPr>
        <w:spacing w:after="160" w:line="300"/>
      </w:pPr>
      <w:r>
        <w:rPr>
          <w:rFonts w:ascii="Calibri" w:cs="Calibri" w:eastAsia="Calibri" w:hAnsi="Calibri"/>
          <w:color w:val="1F2933"/>
          <w:sz w:val="22"/>
          <w:szCs w:val="22"/>
        </w:rPr>
        <w:t xml:space="preserve">Partners need reliable live-location and contact access during an active delivery, but do not need to retain it afterward — a masked, time-boxed number and automatic access expiry protect both sides.</w:t>
      </w:r>
    </w:p>
    <w:p>
      <w:r>
        <w:br w:type="page"/>
      </w:r>
    </w:p>
    <w:p>
      <w:pPr>
        <w:pStyle w:val="Heading1"/>
        <w:pBdr>
          <w:bottom w:val="single" w:color="E23744" w:sz="10" w:space="6"/>
        </w:pBdr>
        <w:spacing w:after="200" w:before="420"/>
      </w:pPr>
      <w:r>
        <w:t xml:space="preserve">4. Current Experience Audit (Before)</w:t>
      </w:r>
    </w:p>
    <w:p>
      <w:pPr>
        <w:spacing w:after="160" w:line="300"/>
      </w:pPr>
      <w:r>
        <w:rPr>
          <w:rFonts w:ascii="Calibri" w:cs="Calibri" w:eastAsia="Calibri" w:hAnsi="Calibri"/>
          <w:color w:val="1F2933"/>
          <w:sz w:val="22"/>
          <w:szCs w:val="22"/>
        </w:rPr>
        <w:t xml:space="preserve">A walkthrough of today's flow against DPDP expectations, screen by screen.</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1600"/>
        <w:gridCol w:w="4200"/>
        <w:gridCol w:w="3550"/>
      </w:tblGrid>
      <w:tr>
        <w:trPr>
          <w:tblHeader/>
        </w:trPr>
        <w:tc>
          <w:tcPr>
            <w:tcW w:type="dxa" w:w="16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Touchpoint</w:t>
            </w:r>
          </w:p>
        </w:tc>
        <w:tc>
          <w:tcPr>
            <w:tcW w:type="dxa" w:w="42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Current Experience</w:t>
            </w:r>
          </w:p>
        </w:tc>
        <w:tc>
          <w:tcPr>
            <w:tcW w:type="dxa" w:w="35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Gap vs. DPDP / Trust</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Signup</w:t>
            </w:r>
          </w:p>
        </w:tc>
        <w:tc>
          <w:tcPr>
            <w:tcW w:type="dxa" w:w="4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One “I agree to Terms &amp; Privacy Policy” checkbox covers all purposes.</w:t>
            </w:r>
          </w:p>
        </w:tc>
        <w:tc>
          <w:tcPr>
            <w:tcW w:type="dxa" w:w="3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 purpose-wise, specific, informed consent (Sec. 6).</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Location</w:t>
            </w:r>
          </w:p>
        </w:tc>
        <w:tc>
          <w:tcPr>
            <w:tcW w:type="dxa" w:w="4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“Allow Zomato to access your location — Always” prompt at first launch.</w:t>
            </w:r>
          </w:p>
        </w:tc>
        <w:tc>
          <w:tcPr>
            <w:tcW w:type="dxa" w:w="3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Broader than necessary for the stated purpose; no contextual ask.</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Marketing</w:t>
            </w:r>
          </w:p>
        </w:tc>
        <w:tc>
          <w:tcPr>
            <w:tcW w:type="dxa" w:w="4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Single toggle for “Promotional communication” covering push, SMS, email, WhatsApp.</w:t>
            </w:r>
          </w:p>
        </w:tc>
        <w:tc>
          <w:tcPr>
            <w:tcW w:type="dxa" w:w="3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Bundled channels; withdrawal not as granular as consent.</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settings</w:t>
            </w:r>
          </w:p>
        </w:tc>
        <w:tc>
          <w:tcPr>
            <w:tcW w:type="dxa" w:w="4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Buried three taps deep: Account → Settings → Privacy Policy (static document only).</w:t>
            </w:r>
          </w:p>
        </w:tc>
        <w:tc>
          <w:tcPr>
            <w:tcW w:type="dxa" w:w="3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 accessible, actionable consent dashboard.</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Download data</w:t>
            </w:r>
          </w:p>
        </w:tc>
        <w:tc>
          <w:tcPr>
            <w:tcW w:type="dxa" w:w="4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Email support@zomato.com and wait for manual processing.</w:t>
            </w:r>
          </w:p>
        </w:tc>
        <w:tc>
          <w:tcPr>
            <w:tcW w:type="dxa" w:w="3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Not self-serve; response time frequently exceeds a reasonable SLA.</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Delete data</w:t>
            </w:r>
          </w:p>
        </w:tc>
        <w:tc>
          <w:tcPr>
            <w:tcW w:type="dxa" w:w="4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In-app “Deactivate account” only; full erasure requires a support ticket.</w:t>
            </w:r>
          </w:p>
        </w:tc>
        <w:tc>
          <w:tcPr>
            <w:tcW w:type="dxa" w:w="3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Right to Erasure (Sec. 12) not readily actionable.</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w:t>
            </w:r>
          </w:p>
        </w:tc>
        <w:tc>
          <w:tcPr>
            <w:tcW w:type="dxa" w:w="4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General support chatbot; no named Grievance Officer surfaced in-app.</w:t>
            </w:r>
          </w:p>
        </w:tc>
        <w:tc>
          <w:tcPr>
            <w:tcW w:type="dxa" w:w="3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Sec. 13 requires a published, reachable Grievance Officer.</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Third-party sharing</w:t>
            </w:r>
          </w:p>
        </w:tc>
        <w:tc>
          <w:tcPr>
            <w:tcW w:type="dxa" w:w="4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Not disclosed anywhere in-app at the field level.</w:t>
            </w:r>
          </w:p>
        </w:tc>
        <w:tc>
          <w:tcPr>
            <w:tcW w:type="dxa" w:w="3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 transparency into what restaurants / delivery partners / ad partners actually receive.</w:t>
            </w:r>
          </w:p>
        </w:tc>
      </w:tr>
    </w:tbl>
    <w:p>
      <w:pPr>
        <w:spacing w:after="240"/>
      </w:pPr>
      <w:r>
        <w:rPr>
          <w:rFonts w:ascii="Calibri" w:cs="Calibri" w:eastAsia="Calibri" w:hAnsi="Calibri"/>
          <w:i/>
          <w:iCs/>
          <w:color w:val="5B6773"/>
          <w:sz w:val="19"/>
          <w:szCs w:val="19"/>
        </w:rPr>
        <w:t xml:space="preserve">Pain-point pattern: every gap above stems from the same root cause — consent and disclosure were designed as a one-time legal formality, not an ongoing product surface.</w:t>
      </w:r>
    </w:p>
    <w:p>
      <w:r>
        <w:br w:type="page"/>
      </w:r>
    </w:p>
    <w:p>
      <w:pPr>
        <w:pStyle w:val="Heading1"/>
        <w:pBdr>
          <w:bottom w:val="single" w:color="E23744" w:sz="10" w:space="6"/>
        </w:pBdr>
        <w:spacing w:after="200" w:before="420"/>
      </w:pPr>
      <w:r>
        <w:t xml:space="preserve">5. Redesigned Experience — Privacy Hub v2 (After)</w:t>
      </w:r>
    </w:p>
    <w:p>
      <w:pPr>
        <w:spacing w:after="160" w:line="300"/>
      </w:pPr>
      <w:r>
        <w:rPr>
          <w:rFonts w:ascii="Calibri" w:cs="Calibri" w:eastAsia="Calibri" w:hAnsi="Calibri"/>
          <w:color w:val="1F2933"/>
          <w:sz w:val="22"/>
          <w:szCs w:val="22"/>
        </w:rPr>
        <w:t xml:space="preserve">The companion prototype implements 21 connected screens, organised into five clusters. Each is a first-class, reachable destination — not a settings sub-page.</w:t>
      </w:r>
    </w:p>
    <w:p>
      <w:pPr>
        <w:pStyle w:val="Heading2"/>
        <w:spacing w:after="140" w:before="300"/>
      </w:pPr>
      <w:r>
        <w:t xml:space="preserve">A. Onboarding &amp; Consent</w:t>
      </w:r>
    </w:p>
    <w:p>
      <w:pPr>
        <w:pStyle w:val="ListParagraph"/>
        <w:numPr>
          <w:ilvl w:val="0"/>
          <w:numId w:val="1"/>
        </w:numPr>
        <w:spacing w:after="90" w:line="290"/>
      </w:pPr>
      <w:r>
        <w:rPr>
          <w:rFonts w:ascii="Calibri" w:cs="Calibri" w:eastAsia="Calibri" w:hAnsi="Calibri"/>
          <w:color w:val="1F2933"/>
          <w:sz w:val="22"/>
          <w:szCs w:val="22"/>
        </w:rPr>
        <w:t xml:space="preserve">Welcome — entry point before signup.</w:t>
      </w:r>
    </w:p>
    <w:p>
      <w:pPr>
        <w:pStyle w:val="ListParagraph"/>
        <w:numPr>
          <w:ilvl w:val="0"/>
          <w:numId w:val="1"/>
        </w:numPr>
        <w:spacing w:after="90" w:line="290"/>
      </w:pPr>
      <w:r>
        <w:rPr>
          <w:rFonts w:ascii="Calibri" w:cs="Calibri" w:eastAsia="Calibri" w:hAnsi="Calibri"/>
          <w:color w:val="1F2933"/>
          <w:sz w:val="22"/>
          <w:szCs w:val="22"/>
        </w:rPr>
        <w:t xml:space="preserve">Privacy Onboarding — a 3-card, plain-language explainer of what will be asked and why, shown before any consent screen.</w:t>
      </w:r>
    </w:p>
    <w:p>
      <w:pPr>
        <w:pStyle w:val="ListParagraph"/>
        <w:numPr>
          <w:ilvl w:val="0"/>
          <w:numId w:val="1"/>
        </w:numPr>
        <w:spacing w:after="90" w:line="290"/>
      </w:pPr>
      <w:r>
        <w:rPr>
          <w:rFonts w:ascii="Calibri" w:cs="Calibri" w:eastAsia="Calibri" w:hAnsi="Calibri"/>
          <w:color w:val="1F2933"/>
          <w:sz w:val="22"/>
          <w:szCs w:val="22"/>
        </w:rPr>
        <w:t xml:space="preserve">Purpose-wise Consent — granular toggles (fulfilment, personalization, marketing, partner sharing) replace the single checkbox.</w:t>
      </w:r>
    </w:p>
    <w:p>
      <w:pPr>
        <w:pStyle w:val="Heading2"/>
        <w:spacing w:after="140" w:before="300"/>
      </w:pPr>
      <w:r>
        <w:t xml:space="preserve">B. Understand</w:t>
      </w:r>
    </w:p>
    <w:p>
      <w:pPr>
        <w:pStyle w:val="ListParagraph"/>
        <w:numPr>
          <w:ilvl w:val="0"/>
          <w:numId w:val="1"/>
        </w:numPr>
        <w:spacing w:after="90" w:line="290"/>
      </w:pPr>
      <w:r>
        <w:rPr>
          <w:rFonts w:ascii="Calibri" w:cs="Calibri" w:eastAsia="Calibri" w:hAnsi="Calibri"/>
          <w:color w:val="1F2933"/>
          <w:sz w:val="22"/>
          <w:szCs w:val="22"/>
        </w:rPr>
        <w:t xml:space="preserve">Privacy Dashboard — the Trust Score broken into four sub-scores: consent freshness, data minimization, rights-response speed, third-party disclosure clarity.</w:t>
      </w:r>
    </w:p>
    <w:p>
      <w:pPr>
        <w:pStyle w:val="ListParagraph"/>
        <w:numPr>
          <w:ilvl w:val="0"/>
          <w:numId w:val="1"/>
        </w:numPr>
        <w:spacing w:after="90" w:line="290"/>
      </w:pPr>
      <w:r>
        <w:rPr>
          <w:rFonts w:ascii="Calibri" w:cs="Calibri" w:eastAsia="Calibri" w:hAnsi="Calibri"/>
          <w:color w:val="1F2933"/>
          <w:sz w:val="22"/>
          <w:szCs w:val="22"/>
        </w:rPr>
        <w:t xml:space="preserve">Live Data Flow Map — a tappable map of exactly which parties (Zomato, restaurant, delivery partner, ad partners) currently hold data, and why.</w:t>
      </w:r>
    </w:p>
    <w:p>
      <w:pPr>
        <w:pStyle w:val="ListParagraph"/>
        <w:numPr>
          <w:ilvl w:val="0"/>
          <w:numId w:val="1"/>
        </w:numPr>
        <w:spacing w:after="90" w:line="290"/>
      </w:pPr>
      <w:r>
        <w:rPr>
          <w:rFonts w:ascii="Calibri" w:cs="Calibri" w:eastAsia="Calibri" w:hAnsi="Calibri"/>
          <w:color w:val="1F2933"/>
          <w:sz w:val="22"/>
          <w:szCs w:val="22"/>
        </w:rPr>
        <w:t xml:space="preserve">Privacy Nutrition Label — an itemised, food-label-style breakdown of what a specific order used and who received it.</w:t>
      </w:r>
    </w:p>
    <w:p>
      <w:pPr>
        <w:pStyle w:val="Heading2"/>
        <w:spacing w:after="140" w:before="300"/>
      </w:pPr>
      <w:r>
        <w:t xml:space="preserve">C. Manage</w:t>
      </w:r>
    </w:p>
    <w:p>
      <w:pPr>
        <w:pStyle w:val="ListParagraph"/>
        <w:numPr>
          <w:ilvl w:val="0"/>
          <w:numId w:val="1"/>
        </w:numPr>
        <w:spacing w:after="90" w:line="290"/>
      </w:pPr>
      <w:r>
        <w:rPr>
          <w:rFonts w:ascii="Calibri" w:cs="Calibri" w:eastAsia="Calibri" w:hAnsi="Calibri"/>
          <w:color w:val="1F2933"/>
          <w:sz w:val="22"/>
          <w:szCs w:val="22"/>
        </w:rPr>
        <w:t xml:space="preserve">Manage Consent — revisit and change any purpose-level toggle, with an “Undo” safety net on save.</w:t>
      </w:r>
    </w:p>
    <w:p>
      <w:pPr>
        <w:pStyle w:val="ListParagraph"/>
        <w:numPr>
          <w:ilvl w:val="0"/>
          <w:numId w:val="1"/>
        </w:numPr>
        <w:spacing w:after="90" w:line="290"/>
      </w:pPr>
      <w:r>
        <w:rPr>
          <w:rFonts w:ascii="Calibri" w:cs="Calibri" w:eastAsia="Calibri" w:hAnsi="Calibri"/>
          <w:color w:val="1F2933"/>
          <w:sz w:val="22"/>
          <w:szCs w:val="22"/>
        </w:rPr>
        <w:t xml:space="preserve">Location Controls — Always / While-order-active / Never, plus a separate Precise-vs-Approximate toggle.</w:t>
      </w:r>
    </w:p>
    <w:p>
      <w:pPr>
        <w:pStyle w:val="ListParagraph"/>
        <w:numPr>
          <w:ilvl w:val="0"/>
          <w:numId w:val="1"/>
        </w:numPr>
        <w:spacing w:after="90" w:line="290"/>
      </w:pPr>
      <w:r>
        <w:rPr>
          <w:rFonts w:ascii="Calibri" w:cs="Calibri" w:eastAsia="Calibri" w:hAnsi="Calibri"/>
          <w:color w:val="1F2933"/>
          <w:sz w:val="22"/>
          <w:szCs w:val="22"/>
        </w:rPr>
        <w:t xml:space="preserve">Marketing Controls — channel-level toggles (push, SMS, WhatsApp, email), independent of the overall marketing purpose.</w:t>
      </w:r>
    </w:p>
    <w:p>
      <w:pPr>
        <w:pStyle w:val="ListParagraph"/>
        <w:numPr>
          <w:ilvl w:val="0"/>
          <w:numId w:val="1"/>
        </w:numPr>
        <w:spacing w:after="90" w:line="290"/>
      </w:pPr>
      <w:r>
        <w:rPr>
          <w:rFonts w:ascii="Calibri" w:cs="Calibri" w:eastAsia="Calibri" w:hAnsi="Calibri"/>
          <w:color w:val="1F2933"/>
          <w:sz w:val="22"/>
          <w:szCs w:val="22"/>
        </w:rPr>
        <w:t xml:space="preserve">Restaurant Sharing — field-level toggles (name &amp; order items are required; allergy notes, order frequency, and cross-platform ratings are optional).</w:t>
      </w:r>
    </w:p>
    <w:p>
      <w:pPr>
        <w:pStyle w:val="ListParagraph"/>
        <w:numPr>
          <w:ilvl w:val="0"/>
          <w:numId w:val="1"/>
        </w:numPr>
        <w:spacing w:after="90" w:line="290"/>
      </w:pPr>
      <w:r>
        <w:rPr>
          <w:rFonts w:ascii="Calibri" w:cs="Calibri" w:eastAsia="Calibri" w:hAnsi="Calibri"/>
          <w:color w:val="1F2933"/>
          <w:sz w:val="22"/>
          <w:szCs w:val="22"/>
        </w:rPr>
        <w:t xml:space="preserve">Delivery Partner Sharing — masked proxy number, live location scoped to pickup→delivery, optional delivery-instruction sharing.</w:t>
      </w:r>
    </w:p>
    <w:p>
      <w:pPr>
        <w:pStyle w:val="ListParagraph"/>
        <w:numPr>
          <w:ilvl w:val="0"/>
          <w:numId w:val="1"/>
        </w:numPr>
        <w:spacing w:after="90" w:line="290"/>
      </w:pPr>
      <w:r>
        <w:rPr>
          <w:rFonts w:ascii="Calibri" w:cs="Calibri" w:eastAsia="Calibri" w:hAnsi="Calibri"/>
          <w:color w:val="1F2933"/>
          <w:sz w:val="22"/>
          <w:szCs w:val="22"/>
        </w:rPr>
        <w:t xml:space="preserve">Third-Party Sharing Ledger — a running, searchable log of every disclosure event.</w:t>
      </w:r>
    </w:p>
    <w:p>
      <w:pPr>
        <w:pStyle w:val="Heading2"/>
        <w:spacing w:after="140" w:before="300"/>
      </w:pPr>
      <w:r>
        <w:t xml:space="preserve">D. Your Data &amp; Account</w:t>
      </w:r>
    </w:p>
    <w:p>
      <w:pPr>
        <w:pStyle w:val="ListParagraph"/>
        <w:numPr>
          <w:ilvl w:val="0"/>
          <w:numId w:val="1"/>
        </w:numPr>
        <w:spacing w:after="90" w:line="290"/>
      </w:pPr>
      <w:r>
        <w:rPr>
          <w:rFonts w:ascii="Calibri" w:cs="Calibri" w:eastAsia="Calibri" w:hAnsi="Calibri"/>
          <w:color w:val="1F2933"/>
          <w:sz w:val="22"/>
          <w:szCs w:val="22"/>
        </w:rPr>
        <w:t xml:space="preserve">Download My Data — instant, self-serve export request.</w:t>
      </w:r>
    </w:p>
    <w:p>
      <w:pPr>
        <w:pStyle w:val="ListParagraph"/>
        <w:numPr>
          <w:ilvl w:val="0"/>
          <w:numId w:val="1"/>
        </w:numPr>
        <w:spacing w:after="90" w:line="290"/>
      </w:pPr>
      <w:r>
        <w:rPr>
          <w:rFonts w:ascii="Calibri" w:cs="Calibri" w:eastAsia="Calibri" w:hAnsi="Calibri"/>
          <w:color w:val="1F2933"/>
          <w:sz w:val="22"/>
          <w:szCs w:val="22"/>
        </w:rPr>
        <w:t xml:space="preserve">Delete My Data — instant, self-serve erasure request.</w:t>
      </w:r>
    </w:p>
    <w:p>
      <w:pPr>
        <w:pStyle w:val="ListParagraph"/>
        <w:numPr>
          <w:ilvl w:val="0"/>
          <w:numId w:val="1"/>
        </w:numPr>
        <w:spacing w:after="90" w:line="290"/>
      </w:pPr>
      <w:r>
        <w:rPr>
          <w:rFonts w:ascii="Calibri" w:cs="Calibri" w:eastAsia="Calibri" w:hAnsi="Calibri"/>
          <w:color w:val="1F2933"/>
          <w:sz w:val="22"/>
          <w:szCs w:val="22"/>
        </w:rPr>
        <w:t xml:space="preserve">Consent Timeline &amp; Receipts — a timestamped receipt for every consent decision ever made.</w:t>
      </w:r>
    </w:p>
    <w:p>
      <w:pPr>
        <w:pStyle w:val="ListParagraph"/>
        <w:numPr>
          <w:ilvl w:val="0"/>
          <w:numId w:val="1"/>
        </w:numPr>
        <w:spacing w:after="90" w:line="290"/>
      </w:pPr>
      <w:r>
        <w:rPr>
          <w:rFonts w:ascii="Calibri" w:cs="Calibri" w:eastAsia="Calibri" w:hAnsi="Calibri"/>
          <w:color w:val="1F2933"/>
          <w:sz w:val="22"/>
          <w:szCs w:val="22"/>
        </w:rPr>
        <w:t xml:space="preserve">Security &amp; Activity Log — sessions, devices, password changes, and export history.</w:t>
      </w:r>
    </w:p>
    <w:p>
      <w:pPr>
        <w:pStyle w:val="Heading2"/>
        <w:spacing w:after="140" w:before="300"/>
      </w:pPr>
      <w:r>
        <w:t xml:space="preserve">E. Trust &amp; Support</w:t>
      </w:r>
    </w:p>
    <w:p>
      <w:pPr>
        <w:pStyle w:val="ListParagraph"/>
        <w:numPr>
          <w:ilvl w:val="0"/>
          <w:numId w:val="1"/>
        </w:numPr>
        <w:spacing w:after="90" w:line="290"/>
      </w:pPr>
      <w:r>
        <w:rPr>
          <w:rFonts w:ascii="Calibri" w:cs="Calibri" w:eastAsia="Calibri" w:hAnsi="Calibri"/>
          <w:color w:val="1F2933"/>
          <w:sz w:val="22"/>
          <w:szCs w:val="22"/>
        </w:rPr>
        <w:t xml:space="preserve">Grievance Redressal — direct, in-app contact with the named Grievance Officer, with a tracked reference number.</w:t>
      </w:r>
    </w:p>
    <w:p>
      <w:pPr>
        <w:pStyle w:val="ListParagraph"/>
        <w:numPr>
          <w:ilvl w:val="0"/>
          <w:numId w:val="1"/>
        </w:numPr>
        <w:spacing w:after="90" w:line="290"/>
      </w:pPr>
      <w:r>
        <w:rPr>
          <w:rFonts w:ascii="Calibri" w:cs="Calibri" w:eastAsia="Calibri" w:hAnsi="Calibri"/>
          <w:color w:val="1F2933"/>
          <w:sz w:val="22"/>
          <w:szCs w:val="22"/>
        </w:rPr>
        <w:t xml:space="preserve">What's Next — a rolling preview of the privacy roadmap, so commitments are visible, not just promised in a press release.</w:t>
      </w:r>
    </w:p>
    <w:p>
      <w:pPr>
        <w:pStyle w:val="Heading2"/>
        <w:spacing w:after="140" w:before="300"/>
      </w:pPr>
      <w:r>
        <w:t xml:space="preserve">Persistent, Cross-Screen Elements</w:t>
      </w:r>
    </w:p>
    <w:p>
      <w:pPr>
        <w:pStyle w:val="ListParagraph"/>
        <w:numPr>
          <w:ilvl w:val="0"/>
          <w:numId w:val="1"/>
        </w:numPr>
        <w:spacing w:after="90" w:line="290"/>
      </w:pPr>
      <w:r>
        <w:rPr>
          <w:rFonts w:ascii="Calibri" w:cs="Calibri" w:eastAsia="Calibri" w:hAnsi="Calibri"/>
          <w:b/>
          <w:bCs/>
          <w:color w:val="1F2933"/>
          <w:sz w:val="22"/>
          <w:szCs w:val="22"/>
        </w:rPr>
        <w:t xml:space="preserve">AI Privacy Assistant — </w:t>
      </w:r>
      <w:r>
        <w:rPr>
          <w:rFonts w:ascii="Calibri" w:cs="Calibri" w:eastAsia="Calibri" w:hAnsi="Calibri"/>
          <w:color w:val="1F2933"/>
          <w:sz w:val="22"/>
          <w:szCs w:val="22"/>
        </w:rPr>
        <w:t xml:space="preserve">a floating assistant, available from Home onward, that answers questions (“Who has my location data?”) strictly from the user's actual settings — never a generic legal answer.</w:t>
      </w:r>
    </w:p>
    <w:p>
      <w:pPr>
        <w:pStyle w:val="ListParagraph"/>
        <w:numPr>
          <w:ilvl w:val="0"/>
          <w:numId w:val="1"/>
        </w:numPr>
        <w:spacing w:after="90" w:line="290"/>
      </w:pPr>
      <w:r>
        <w:rPr>
          <w:rFonts w:ascii="Calibri" w:cs="Calibri" w:eastAsia="Calibri" w:hAnsi="Calibri"/>
          <w:b/>
          <w:bCs/>
          <w:color w:val="1F2933"/>
          <w:sz w:val="22"/>
          <w:szCs w:val="22"/>
        </w:rPr>
        <w:t xml:space="preserve">Privacy Notifications — </w:t>
      </w:r>
      <w:r>
        <w:rPr>
          <w:rFonts w:ascii="Calibri" w:cs="Calibri" w:eastAsia="Calibri" w:hAnsi="Calibri"/>
          <w:color w:val="1F2933"/>
          <w:sz w:val="22"/>
          <w:szCs w:val="22"/>
        </w:rPr>
        <w:t xml:space="preserve">a bell icon on the Hub surfaces proactive alerts (e.g., annual marketing re-confirmation, new partner sharing).</w:t>
      </w:r>
    </w:p>
    <w:p>
      <w:pPr>
        <w:pStyle w:val="ListParagraph"/>
        <w:numPr>
          <w:ilvl w:val="0"/>
          <w:numId w:val="1"/>
        </w:numPr>
        <w:spacing w:after="90" w:line="290"/>
      </w:pPr>
      <w:r>
        <w:rPr>
          <w:rFonts w:ascii="Calibri" w:cs="Calibri" w:eastAsia="Calibri" w:hAnsi="Calibri"/>
          <w:b/>
          <w:bCs/>
          <w:color w:val="1F2933"/>
          <w:sz w:val="22"/>
          <w:szCs w:val="22"/>
        </w:rPr>
        <w:t xml:space="preserve">Dark Mode — </w:t>
      </w:r>
      <w:r>
        <w:rPr>
          <w:rFonts w:ascii="Calibri" w:cs="Calibri" w:eastAsia="Calibri" w:hAnsi="Calibri"/>
          <w:color w:val="1F2933"/>
          <w:sz w:val="22"/>
          <w:szCs w:val="22"/>
        </w:rPr>
        <w:t xml:space="preserve">a single Appearance toggle re-themes the entire Hub, showing the design system was built on tokens, not one-off screens.</w:t>
      </w:r>
    </w:p>
    <w:p>
      <w:r>
        <w:br w:type="page"/>
      </w:r>
    </w:p>
    <w:p>
      <w:pPr>
        <w:pStyle w:val="Heading1"/>
        <w:pBdr>
          <w:bottom w:val="single" w:color="E23744" w:sz="10" w:space="6"/>
        </w:pBdr>
        <w:spacing w:after="200" w:before="420"/>
      </w:pPr>
      <w:r>
        <w:t xml:space="preserve">6. Feature Deep Dives</w:t>
      </w:r>
    </w:p>
    <w:p>
      <w:pPr>
        <w:pStyle w:val="Heading3"/>
        <w:spacing w:after="100" w:before="220"/>
      </w:pPr>
      <w:r>
        <w:t xml:space="preserve">Purpose-wise Consent with Undo</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Consent is captured and stored as independent purpose records (fulfilment, personalization, marketing, partner-sharing) instead of one boolean.</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Satisfies DPDP's purpose-limitation and specific-consent requirements (Sec. 4–6), and lets a user opt out of one purpose without losing service quality on the others.</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Each toggle writes a versioned ConsentRecord with a purpose ID, timestamp and consent text hash. Saving surfaces a toast with a one-tap Undo, reducing the cost of an accidental change and therefore the incentive to leave everything on “just in case.”</w:t>
      </w:r>
    </w:p>
    <w:p>
      <w:pPr>
        <w:pStyle w:val="Heading3"/>
        <w:spacing w:after="100" w:before="220"/>
      </w:pPr>
      <w:r>
        <w:t xml:space="preserve">Contextual Location Controls</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Location access defaults to “while an order is active” rather than “Always,” with a separate precise-vs-approximate toggle.</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Aligns with data-minimization (Sec. 6): the app requests no more than is necessary for delivery tracking.</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A geofenced permission window opens at “order picked up” and closes automatically at “delivered,” enforced server-side, not just as a client-side UI preference.</w:t>
      </w:r>
    </w:p>
    <w:p>
      <w:pPr>
        <w:pStyle w:val="Heading3"/>
        <w:spacing w:after="100" w:before="220"/>
      </w:pPr>
      <w:r>
        <w:t xml:space="preserve">Channel-Level Marketing Controls</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Push, SMS, WhatsApp and email are independent toggles beneath a master “marketing” purpose.</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Prevents the common dark pattern where turning off “marketing” still allows every channel; supports a more accurate lift measurement per channel for growth.</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Channel preference is stored per purpose and enforced at the notification-dispatch layer, so a disabled channel is filtered before send, not after.</w:t>
      </w:r>
    </w:p>
    <w:p>
      <w:pPr>
        <w:pStyle w:val="Heading3"/>
        <w:spacing w:after="100" w:before="220"/>
      </w:pPr>
      <w:r>
        <w:t xml:space="preserve">Field-Level Restaurant &amp; Delivery Partner Sharing</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Two dedicated screens let a user see and toggle exactly which fields (allergy notes, order frequency, delivery instructions) are shared with each partner type.</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Reduces both regulatory and reputational risk from over-sharing, and gives restaurant/delivery partners a defensible, minimal dataset.</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Required fields (name, order items, live location during delivery) are locked as necessary for contract performance; optional fields are gated by a per-field consent flag checked at order-creation time.</w:t>
      </w:r>
    </w:p>
    <w:p>
      <w:pPr>
        <w:pStyle w:val="Heading3"/>
        <w:spacing w:after="100" w:before="220"/>
      </w:pPr>
      <w:r>
        <w:t xml:space="preserve">Live Data Flow Map</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A tappable visualization showing which parties currently hold the user's data — Zomato, restaurant partners, delivery partner, marketing/ad partners — and what each holds.</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Directly answers the DPDP notice requirement in an at-a-glance format; converts an abstract legal disclosure into something a non-technical user can actually parse.</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Each node's state (Active/Paused) is computed live from the user's current consent and any active order, not a static description.</w:t>
      </w:r>
    </w:p>
    <w:p>
      <w:pPr>
        <w:pStyle w:val="Heading3"/>
        <w:spacing w:after="100" w:before="220"/>
      </w:pPr>
      <w:r>
        <w:t xml:space="preserve">Privacy Nutrition Label</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An itemised, food-label-styled breakdown of exactly what data a single order used, tagged Required or Optional, and who received it.</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Makes “itemised notice” concrete and auditable at the transaction level, the same way a packaged-food nutrition label makes ingredients concrete.</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Generated at checkout from the order's actual field-level consent state — not a static template — so it is always accurate to what happened, not what usually happens.</w:t>
      </w:r>
    </w:p>
    <w:p>
      <w:pPr>
        <w:pStyle w:val="Heading3"/>
        <w:spacing w:after="100" w:before="220"/>
      </w:pPr>
      <w:r>
        <w:t xml:space="preserve">Consent Timeline &amp; Receipts</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A chronological, timestamped receipt for every consent decision the user has ever made.</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Satisfies the auditability expectation behind DPDP consent-withdrawal and creates a defensible record for both the user and Zomato in a dispute.</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Every write to the Consent Service appends an immutable receipt row; the UI simply renders that ledger.</w:t>
      </w:r>
    </w:p>
    <w:p>
      <w:pPr>
        <w:pStyle w:val="Heading3"/>
        <w:spacing w:after="100" w:before="220"/>
      </w:pPr>
      <w:r>
        <w:t xml:space="preserve">Self-Serve Download &amp; Delete</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One-tap data export and erasure requests, replacing the current support-ticket flow.</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Directly operationalises the Right to Access and Right to Erasure (Sec. 11–12), and removes the largest driver of privacy-related support volume.</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Download triggers an async export job notified via push/email; Delete queues an erasure job that executes once any in-flight order completes, with a confirmation receipt.</w:t>
      </w:r>
    </w:p>
    <w:p>
      <w:pPr>
        <w:pStyle w:val="Heading3"/>
        <w:spacing w:after="100" w:before="220"/>
      </w:pPr>
      <w:r>
        <w:t xml:space="preserve">Third-Party Sharing Ledger</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A running, searchable log of every individual disclosure event to a restaurant, delivery partner, or ad partner.</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Goes beyond DPDP's minimum by giving users the same visibility a regulator would have in an audit — the strongest possible trust signal.</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Populated from the same event stream that drives the Audit Service, so the ledger a user sees is the same data compliance would review.</w:t>
      </w:r>
    </w:p>
    <w:p>
      <w:pPr>
        <w:pStyle w:val="Heading3"/>
        <w:spacing w:after="100" w:before="220"/>
      </w:pPr>
      <w:r>
        <w:t xml:space="preserve">Grievance Redressal</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A direct, in-app channel to the named Grievance Officer, with a tracked reference number and a stated response window.</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DPDP Sec. 13 requires a published, reachable Grievance Officer; making this a first-class screen (not a buried policy PDF) turns a compliance obligation into a trust signal.</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Submissions create a ticket in the Grievance queue with an SLA timer, visible to the user as a reference number and status.</w:t>
      </w:r>
    </w:p>
    <w:p>
      <w:pPr>
        <w:pStyle w:val="Heading3"/>
        <w:spacing w:after="100" w:before="220"/>
      </w:pPr>
      <w:r>
        <w:t xml:space="preserve">AI Privacy Assistant</w:t>
      </w:r>
    </w:p>
    <w:p>
      <w:pPr>
        <w:pStyle w:val="ListParagraph"/>
        <w:numPr>
          <w:ilvl w:val="0"/>
          <w:numId w:val="1"/>
        </w:numPr>
        <w:spacing w:after="90" w:line="290"/>
      </w:pPr>
      <w:r>
        <w:rPr>
          <w:rFonts w:ascii="Calibri" w:cs="Calibri" w:eastAsia="Calibri" w:hAnsi="Calibri"/>
          <w:b/>
          <w:bCs/>
          <w:color w:val="1F2933"/>
          <w:sz w:val="22"/>
          <w:szCs w:val="22"/>
        </w:rPr>
        <w:t xml:space="preserve">What it is — </w:t>
      </w:r>
      <w:r>
        <w:rPr>
          <w:rFonts w:ascii="Calibri" w:cs="Calibri" w:eastAsia="Calibri" w:hAnsi="Calibri"/>
          <w:color w:val="1F2933"/>
          <w:sz w:val="22"/>
          <w:szCs w:val="22"/>
        </w:rPr>
        <w:t xml:space="preserve">A floating, persistent assistant that answers plain-language questions strictly from the user's real settings and order history.</w:t>
      </w:r>
    </w:p>
    <w:p>
      <w:pPr>
        <w:pStyle w:val="ListParagraph"/>
        <w:numPr>
          <w:ilvl w:val="0"/>
          <w:numId w:val="1"/>
        </w:numPr>
        <w:spacing w:after="90" w:line="290"/>
      </w:pPr>
      <w:r>
        <w:rPr>
          <w:rFonts w:ascii="Calibri" w:cs="Calibri" w:eastAsia="Calibri" w:hAnsi="Calibri"/>
          <w:b/>
          <w:bCs/>
          <w:color w:val="1F2933"/>
          <w:sz w:val="22"/>
          <w:szCs w:val="22"/>
        </w:rPr>
        <w:t xml:space="preserve">Why it matters — </w:t>
      </w:r>
      <w:r>
        <w:rPr>
          <w:rFonts w:ascii="Calibri" w:cs="Calibri" w:eastAsia="Calibri" w:hAnsi="Calibri"/>
          <w:color w:val="1F2933"/>
          <w:sz w:val="22"/>
          <w:szCs w:val="22"/>
        </w:rPr>
        <w:t xml:space="preserve">Reduces the gap between “we published a policy” and “the user actually understands their situation” — the single biggest driver of perceived (vs. actual) privacy risk.</w:t>
      </w:r>
    </w:p>
    <w:p>
      <w:pPr>
        <w:pStyle w:val="ListParagraph"/>
        <w:numPr>
          <w:ilvl w:val="0"/>
          <w:numId w:val="1"/>
        </w:numPr>
        <w:spacing w:after="90" w:line="290"/>
      </w:pPr>
      <w:r>
        <w:rPr>
          <w:rFonts w:ascii="Calibri" w:cs="Calibri" w:eastAsia="Calibri" w:hAnsi="Calibri"/>
          <w:b/>
          <w:bCs/>
          <w:color w:val="1F2933"/>
          <w:sz w:val="22"/>
          <w:szCs w:val="22"/>
        </w:rPr>
        <w:t xml:space="preserve">How it works — </w:t>
      </w:r>
      <w:r>
        <w:rPr>
          <w:rFonts w:ascii="Calibri" w:cs="Calibri" w:eastAsia="Calibri" w:hAnsi="Calibri"/>
          <w:color w:val="1F2933"/>
          <w:sz w:val="22"/>
          <w:szCs w:val="22"/>
        </w:rPr>
        <w:t xml:space="preserve">Answers are template-grounded in live account state (current toggles, most recent order's data-sharing record) — it does not generate free-form claims about data practices.</w:t>
      </w:r>
    </w:p>
    <w:p>
      <w:r>
        <w:br w:type="page"/>
      </w:r>
    </w:p>
    <w:p>
      <w:pPr>
        <w:pStyle w:val="Heading1"/>
        <w:pBdr>
          <w:bottom w:val="single" w:color="E23744" w:sz="10" w:space="6"/>
        </w:pBdr>
        <w:spacing w:after="200" w:before="420"/>
      </w:pPr>
      <w:r>
        <w:t xml:space="preserve">7. Information Architecture</w:t>
      </w:r>
    </w:p>
    <w:p>
      <w:pPr>
        <w:spacing w:after="160" w:line="300"/>
      </w:pPr>
      <w:r>
        <w:rPr>
          <w:rFonts w:ascii="Calibri" w:cs="Calibri" w:eastAsia="Calibri" w:hAnsi="Calibri"/>
          <w:color w:val="1F2933"/>
          <w:sz w:val="22"/>
          <w:szCs w:val="22"/>
        </w:rPr>
        <w:t xml:space="preserve">Privacy Hub is reached from Account (top-level, not nested) and fans out into five clusters. Every leaf screen has a single, obvious way back to the Hub.</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2200"/>
        <w:gridCol w:w="7150"/>
      </w:tblGrid>
      <w:tr>
        <w:trPr>
          <w:tblHeader/>
        </w:trPr>
        <w:tc>
          <w:tcPr>
            <w:tcW w:type="dxa" w:w="22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Level</w:t>
            </w:r>
          </w:p>
        </w:tc>
        <w:tc>
          <w:tcPr>
            <w:tcW w:type="dxa" w:w="71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Node</w:t>
            </w:r>
          </w:p>
        </w:tc>
      </w:tr>
      <w:tr>
        <w:tc>
          <w:tcPr>
            <w:tcW w:type="dxa" w:w="2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L0</w:t>
            </w:r>
          </w:p>
        </w:tc>
        <w:tc>
          <w:tcPr>
            <w:tcW w:type="dxa" w:w="71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Account</w:t>
            </w:r>
          </w:p>
        </w:tc>
      </w:tr>
      <w:tr>
        <w:tc>
          <w:tcPr>
            <w:tcW w:type="dxa" w:w="2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L1</w:t>
            </w:r>
          </w:p>
        </w:tc>
        <w:tc>
          <w:tcPr>
            <w:tcW w:type="dxa" w:w="71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Hub (Trust Score + Notifications)</w:t>
            </w:r>
          </w:p>
        </w:tc>
      </w:tr>
      <w:tr>
        <w:tc>
          <w:tcPr>
            <w:tcW w:type="dxa" w:w="2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L2 — Understand</w:t>
            </w:r>
          </w:p>
        </w:tc>
        <w:tc>
          <w:tcPr>
            <w:tcW w:type="dxa" w:w="71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Dashboard  ·  Live Data Flow Map  ·  Privacy Nutrition Label</w:t>
            </w:r>
          </w:p>
        </w:tc>
      </w:tr>
      <w:tr>
        <w:tc>
          <w:tcPr>
            <w:tcW w:type="dxa" w:w="2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L2 — Manage</w:t>
            </w:r>
          </w:p>
        </w:tc>
        <w:tc>
          <w:tcPr>
            <w:tcW w:type="dxa" w:w="71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 Consent  ·  Location  ·  Marketing  ·  Restaurant Sharing  ·  Delivery Sharing  ·  Sharing Ledger</w:t>
            </w:r>
          </w:p>
        </w:tc>
      </w:tr>
      <w:tr>
        <w:tc>
          <w:tcPr>
            <w:tcW w:type="dxa" w:w="2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L2 — Your data</w:t>
            </w:r>
          </w:p>
        </w:tc>
        <w:tc>
          <w:tcPr>
            <w:tcW w:type="dxa" w:w="71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Download  ·  Delete  ·  Consent Timeline &amp; Receipts</w:t>
            </w:r>
          </w:p>
        </w:tc>
      </w:tr>
      <w:tr>
        <w:tc>
          <w:tcPr>
            <w:tcW w:type="dxa" w:w="2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L2 — Trust &amp; support</w:t>
            </w:r>
          </w:p>
        </w:tc>
        <w:tc>
          <w:tcPr>
            <w:tcW w:type="dxa" w:w="71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Security &amp; Activity  ·  Grievance Redressal  ·  What's Next</w:t>
            </w:r>
          </w:p>
        </w:tc>
      </w:tr>
      <w:tr>
        <w:tc>
          <w:tcPr>
            <w:tcW w:type="dxa" w:w="2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Persistent</w:t>
            </w:r>
          </w:p>
        </w:tc>
        <w:tc>
          <w:tcPr>
            <w:tcW w:type="dxa" w:w="71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AI Privacy Assistant (floating, all authenticated screens)</w:t>
            </w:r>
          </w:p>
        </w:tc>
      </w:tr>
    </w:tbl>
    <w:p>
      <w:r>
        <w:br w:type="page"/>
      </w:r>
    </w:p>
    <w:p>
      <w:pPr>
        <w:pStyle w:val="Heading1"/>
        <w:pBdr>
          <w:bottom w:val="single" w:color="E23744" w:sz="10" w:space="6"/>
        </w:pBdr>
        <w:spacing w:after="200" w:before="420"/>
      </w:pPr>
      <w:r>
        <w:t xml:space="preserve">8. System Design Overview</w:t>
      </w:r>
    </w:p>
    <w:p>
      <w:pPr>
        <w:spacing w:after="160" w:line="300"/>
      </w:pPr>
      <w:r>
        <w:rPr>
          <w:rFonts w:ascii="Calibri" w:cs="Calibri" w:eastAsia="Calibri" w:hAnsi="Calibri"/>
          <w:color w:val="1F2933"/>
          <w:sz w:val="22"/>
          <w:szCs w:val="22"/>
        </w:rPr>
        <w:t xml:space="preserve">A microservice architecture keeps consent state as a single source of truth that every consumer-facing surface (Zomato, Blinkit, District) can share, while isolating audit-grade data (the sharing ledger, receipts) in append-only stores.</w:t>
      </w:r>
    </w:p>
    <w:p>
      <w:pPr>
        <w:pStyle w:val="Heading2"/>
        <w:spacing w:after="140" w:before="300"/>
      </w:pPr>
      <w:r>
        <w:t xml:space="preserve">Core Services</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2600"/>
        <w:gridCol w:w="6750"/>
      </w:tblGrid>
      <w:tr>
        <w:trPr>
          <w:tblHeader/>
        </w:trPr>
        <w:tc>
          <w:tcPr>
            <w:tcW w:type="dxa" w:w="26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Service</w:t>
            </w:r>
          </w:p>
        </w:tc>
        <w:tc>
          <w:tcPr>
            <w:tcW w:type="dxa" w:w="67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Responsibility</w:t>
            </w:r>
          </w:p>
        </w:tc>
      </w:tr>
      <w:tr>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API Gateway</w:t>
            </w:r>
          </w:p>
        </w:tc>
        <w:tc>
          <w:tcPr>
            <w:tcW w:type="dxa" w:w="6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AuthN/AuthZ, rate limiting, request routing to all services below.</w:t>
            </w:r>
          </w:p>
        </w:tc>
      </w:tr>
      <w:tr>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Identity Service</w:t>
            </w:r>
          </w:p>
        </w:tc>
        <w:tc>
          <w:tcPr>
            <w:tcW w:type="dxa" w:w="6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Account, session, and device management; powers the Security &amp; Activity Log.</w:t>
            </w:r>
          </w:p>
        </w:tc>
      </w:tr>
      <w:tr>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 Service</w:t>
            </w:r>
          </w:p>
        </w:tc>
        <w:tc>
          <w:tcPr>
            <w:tcW w:type="dxa" w:w="6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System of record for purpose-wise consent state and versioned consent receipts.</w:t>
            </w:r>
          </w:p>
        </w:tc>
      </w:tr>
      <w:tr>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Service</w:t>
            </w:r>
          </w:p>
        </w:tc>
        <w:tc>
          <w:tcPr>
            <w:tcW w:type="dxa" w:w="6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Computes Trust Score / sub-scores, the Live Data Flow Map, and the Nutrition Label from Consent + Order + Audit data.</w:t>
            </w:r>
          </w:p>
        </w:tc>
      </w:tr>
      <w:tr>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Order Service</w:t>
            </w:r>
          </w:p>
        </w:tc>
        <w:tc>
          <w:tcPr>
            <w:tcW w:type="dxa" w:w="6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Order lifecycle; emits events that drive field-level sharing with restaurant and delivery partner APIs.</w:t>
            </w:r>
          </w:p>
        </w:tc>
      </w:tr>
      <w:tr>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Data Rights Service</w:t>
            </w:r>
          </w:p>
        </w:tc>
        <w:tc>
          <w:tcPr>
            <w:tcW w:type="dxa" w:w="6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Handles Download and Delete requests as async, trackable jobs.</w:t>
            </w:r>
          </w:p>
        </w:tc>
      </w:tr>
      <w:tr>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Notification Service</w:t>
            </w:r>
          </w:p>
        </w:tc>
        <w:tc>
          <w:tcPr>
            <w:tcW w:type="dxa" w:w="6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Dispatches push/SMS/WhatsApp/email, filtered by channel-level marketing consent before send.</w:t>
            </w:r>
          </w:p>
        </w:tc>
      </w:tr>
      <w:tr>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AI Privacy Assistant</w:t>
            </w:r>
          </w:p>
        </w:tc>
        <w:tc>
          <w:tcPr>
            <w:tcW w:type="dxa" w:w="6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Retrieves live consent/order state and answers from a constrained template set — no open-ended generation about data practices.</w:t>
            </w:r>
          </w:p>
        </w:tc>
      </w:tr>
      <w:tr>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Audit Service</w:t>
            </w:r>
          </w:p>
        </w:tc>
        <w:tc>
          <w:tcPr>
            <w:tcW w:type="dxa" w:w="6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Appends every consent change and third-party disclosure to an immutable ledger; backs the Sharing Ledger UI and any regulatory audit.</w:t>
            </w:r>
          </w:p>
        </w:tc>
      </w:tr>
    </w:tbl>
    <w:p>
      <w:pPr>
        <w:pStyle w:val="Heading2"/>
        <w:spacing w:after="140" w:before="300"/>
      </w:pPr>
      <w:r>
        <w:t xml:space="preserve">Event-Driven Backbone</w:t>
      </w:r>
    </w:p>
    <w:p>
      <w:pPr>
        <w:spacing w:after="160" w:line="300"/>
      </w:pPr>
      <w:r>
        <w:rPr>
          <w:rFonts w:ascii="Calibri" w:cs="Calibri" w:eastAsia="Calibri" w:hAnsi="Calibri"/>
          <w:color w:val="1F2933"/>
          <w:sz w:val="22"/>
          <w:szCs w:val="22"/>
        </w:rPr>
        <w:t xml:space="preserve">A Kafka-style event bus (topics: consent.changed, order.created, order.delivered, rights.requested) decouples the Consent and Order services from downstream consumers — Notification, Audit, and the Analytics Warehouse — so adding a new consumer (e.g., a future Blinkit dashboard) never requires changing the producer.</w:t>
      </w:r>
    </w:p>
    <w:p>
      <w:pPr>
        <w:pStyle w:val="Heading2"/>
        <w:spacing w:after="140" w:before="300"/>
      </w:pPr>
      <w:r>
        <w:t xml:space="preserve">Representative Data Flows</w:t>
      </w:r>
    </w:p>
    <w:p>
      <w:pPr>
        <w:pStyle w:val="ListParagraph"/>
        <w:numPr>
          <w:ilvl w:val="0"/>
          <w:numId w:val="1"/>
        </w:numPr>
        <w:spacing w:after="90" w:line="290"/>
      </w:pPr>
      <w:r>
        <w:rPr>
          <w:rFonts w:ascii="Calibri" w:cs="Calibri" w:eastAsia="Calibri" w:hAnsi="Calibri"/>
          <w:b/>
          <w:bCs/>
          <w:color w:val="1F2933"/>
          <w:sz w:val="22"/>
          <w:szCs w:val="22"/>
        </w:rPr>
        <w:t xml:space="preserve">Consent update — </w:t>
      </w:r>
      <w:r>
        <w:rPr>
          <w:rFonts w:ascii="Calibri" w:cs="Calibri" w:eastAsia="Calibri" w:hAnsi="Calibri"/>
          <w:color w:val="1F2933"/>
          <w:sz w:val="22"/>
          <w:szCs w:val="22"/>
        </w:rPr>
        <w:t xml:space="preserve">Client → Gateway → Consent Service (writes ConsentRecord + Receipt) → event bus → Audit Service (ledger) + Notification Service (if a purpose newly requires a confirmation).</w:t>
      </w:r>
    </w:p>
    <w:p>
      <w:pPr>
        <w:pStyle w:val="ListParagraph"/>
        <w:numPr>
          <w:ilvl w:val="0"/>
          <w:numId w:val="1"/>
        </w:numPr>
        <w:spacing w:after="90" w:line="290"/>
      </w:pPr>
      <w:r>
        <w:rPr>
          <w:rFonts w:ascii="Calibri" w:cs="Calibri" w:eastAsia="Calibri" w:hAnsi="Calibri"/>
          <w:b/>
          <w:bCs/>
          <w:color w:val="1F2933"/>
          <w:sz w:val="22"/>
          <w:szCs w:val="22"/>
        </w:rPr>
        <w:t xml:space="preserve">Order with partner sharing — </w:t>
      </w:r>
      <w:r>
        <w:rPr>
          <w:rFonts w:ascii="Calibri" w:cs="Calibri" w:eastAsia="Calibri" w:hAnsi="Calibri"/>
          <w:color w:val="1F2933"/>
          <w:sz w:val="22"/>
          <w:szCs w:val="22"/>
        </w:rPr>
        <w:t xml:space="preserve">Order Service reads the user's current field-level consent from the Consent Service at order-creation time, then shares only the permitted fields with the Restaurant/Delivery Partner APIs; the shared payload is hashed and logged to the Audit Service.</w:t>
      </w:r>
    </w:p>
    <w:p>
      <w:pPr>
        <w:pStyle w:val="ListParagraph"/>
        <w:numPr>
          <w:ilvl w:val="0"/>
          <w:numId w:val="1"/>
        </w:numPr>
        <w:spacing w:after="90" w:line="290"/>
      </w:pPr>
      <w:r>
        <w:rPr>
          <w:rFonts w:ascii="Calibri" w:cs="Calibri" w:eastAsia="Calibri" w:hAnsi="Calibri"/>
          <w:b/>
          <w:bCs/>
          <w:color w:val="1F2933"/>
          <w:sz w:val="22"/>
          <w:szCs w:val="22"/>
        </w:rPr>
        <w:t xml:space="preserve">Data rights request — </w:t>
      </w:r>
      <w:r>
        <w:rPr>
          <w:rFonts w:ascii="Calibri" w:cs="Calibri" w:eastAsia="Calibri" w:hAnsi="Calibri"/>
          <w:color w:val="1F2933"/>
          <w:sz w:val="22"/>
          <w:szCs w:val="22"/>
        </w:rPr>
        <w:t xml:space="preserve">Client → Gateway → Data Rights Service creates an async job → on completion, Notification Service confirms via push/email → Audit Service logs the request and completion timestamp for SLA reporting.</w:t>
      </w:r>
    </w:p>
    <w:p>
      <w:r>
        <w:br w:type="page"/>
      </w:r>
    </w:p>
    <w:p>
      <w:pPr>
        <w:pStyle w:val="Heading1"/>
        <w:pBdr>
          <w:bottom w:val="single" w:color="E23744" w:sz="10" w:space="6"/>
        </w:pBdr>
        <w:spacing w:after="200" w:before="420"/>
      </w:pPr>
      <w:r>
        <w:t xml:space="preserve">9. Database Design</w:t>
      </w:r>
    </w:p>
    <w:p>
      <w:pPr>
        <w:pStyle w:val="Heading2"/>
        <w:spacing w:after="140" w:before="300"/>
      </w:pPr>
      <w:r>
        <w:t xml:space="preserve">Key Tables (illustrative schema)</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1900"/>
        <w:gridCol w:w="3400"/>
        <w:gridCol w:w="4050"/>
      </w:tblGrid>
      <w:tr>
        <w:trPr>
          <w:tblHeader/>
        </w:trPr>
        <w:tc>
          <w:tcPr>
            <w:tcW w:type="dxa" w:w="19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Table</w:t>
            </w:r>
          </w:p>
        </w:tc>
        <w:tc>
          <w:tcPr>
            <w:tcW w:type="dxa" w:w="34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Key Fields</w:t>
            </w:r>
          </w:p>
        </w:tc>
        <w:tc>
          <w:tcPr>
            <w:tcW w:type="dxa" w:w="40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Notes</w:t>
            </w:r>
          </w:p>
        </w:tc>
      </w:tr>
      <w:tr>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users</w:t>
            </w:r>
          </w:p>
        </w:tc>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user_id (PK), name, email, phone_hash, created_at</w:t>
            </w:r>
          </w:p>
        </w:tc>
        <w:tc>
          <w:tcPr>
            <w:tcW w:type="dxa" w:w="4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Phone is stored hashed; a proxy-number mapping is separate and short-lived.</w:t>
            </w:r>
          </w:p>
        </w:tc>
      </w:tr>
      <w:tr>
        <w:tc>
          <w:tcPr>
            <w:tcW w:type="dxa" w:w="1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purpose_catalog</w:t>
            </w:r>
          </w:p>
        </w:tc>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purpose_id (PK), name, description, is_required</w:t>
            </w:r>
          </w:p>
        </w:tc>
        <w:tc>
          <w:tcPr>
            <w:tcW w:type="dxa" w:w="4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Seed data: fulfilment (required), personalization, marketing, partner_sharing.</w:t>
            </w:r>
          </w:p>
        </w:tc>
      </w:tr>
      <w:tr>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consent_records</w:t>
            </w:r>
          </w:p>
        </w:tc>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consent_id (PK), user_id (FK), purpose_id (FK), channel, state, updated_at</w:t>
            </w:r>
          </w:p>
        </w:tc>
        <w:tc>
          <w:tcPr>
            <w:tcW w:type="dxa" w:w="4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One row per purpose (and per channel for marketing); current-state table.</w:t>
            </w:r>
          </w:p>
        </w:tc>
      </w:tr>
      <w:tr>
        <w:tc>
          <w:tcPr>
            <w:tcW w:type="dxa" w:w="1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consent_receipts</w:t>
            </w:r>
          </w:p>
        </w:tc>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receipt_id (PK), user_id (FK), purpose_id, prior_state, new_state, consent_text_hash, timestamp</w:t>
            </w:r>
          </w:p>
        </w:tc>
        <w:tc>
          <w:tcPr>
            <w:tcW w:type="dxa" w:w="4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Append-only; powers the Consent Timeline screen.</w:t>
            </w:r>
          </w:p>
        </w:tc>
      </w:tr>
      <w:tr>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sharing_ledger</w:t>
            </w:r>
          </w:p>
        </w:tc>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event_id (PK), user_id (FK), order_id, recipient_type, fields_shared, timestamp</w:t>
            </w:r>
          </w:p>
        </w:tc>
        <w:tc>
          <w:tcPr>
            <w:tcW w:type="dxa" w:w="4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Append-only; powers the Sharing Ledger and Data Flow Map.</w:t>
            </w:r>
          </w:p>
        </w:tc>
      </w:tr>
      <w:tr>
        <w:tc>
          <w:tcPr>
            <w:tcW w:type="dxa" w:w="1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data_rights_requests</w:t>
            </w:r>
          </w:p>
        </w:tc>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request_id (PK), user_id (FK), type (export/erase), status, requested_at, completed_at</w:t>
            </w:r>
          </w:p>
        </w:tc>
        <w:tc>
          <w:tcPr>
            <w:tcW w:type="dxa" w:w="4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Drives the Data Rights Service SLA dashboard.</w:t>
            </w:r>
          </w:p>
        </w:tc>
      </w:tr>
      <w:tr>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audit_log</w:t>
            </w:r>
          </w:p>
        </w:tc>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log_id (PK), user_id (FK), event_type, device, ip_hash, timestamp</w:t>
            </w:r>
          </w:p>
        </w:tc>
        <w:tc>
          <w:tcPr>
            <w:tcW w:type="dxa" w:w="4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Powers the Security &amp; Activity Log screen.</w:t>
            </w:r>
          </w:p>
        </w:tc>
      </w:tr>
      <w:tr>
        <w:tc>
          <w:tcPr>
            <w:tcW w:type="dxa" w:w="1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grievances</w:t>
            </w:r>
          </w:p>
        </w:tc>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grievance_id (PK), user_id (FK), text, status, reference_no, submitted_at, resolved_at</w:t>
            </w:r>
          </w:p>
        </w:tc>
        <w:tc>
          <w:tcPr>
            <w:tcW w:type="dxa" w:w="4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SLA-tracked against the 30-day statutory ceiling.</w:t>
            </w:r>
          </w:p>
        </w:tc>
      </w:tr>
    </w:tbl>
    <w:p>
      <w:pPr>
        <w:pStyle w:val="Heading2"/>
        <w:spacing w:after="140" w:before="300"/>
      </w:pPr>
      <w:r>
        <w:t xml:space="preserve">Retention Policy (illustrative)</w:t>
      </w:r>
    </w:p>
    <w:p>
      <w:pPr>
        <w:pStyle w:val="ListParagraph"/>
        <w:numPr>
          <w:ilvl w:val="0"/>
          <w:numId w:val="1"/>
        </w:numPr>
        <w:spacing w:after="90" w:line="290"/>
      </w:pPr>
      <w:r>
        <w:rPr>
          <w:rFonts w:ascii="Calibri" w:cs="Calibri" w:eastAsia="Calibri" w:hAnsi="Calibri"/>
          <w:color w:val="1F2933"/>
          <w:sz w:val="22"/>
          <w:szCs w:val="22"/>
        </w:rPr>
        <w:t xml:space="preserve">consent_receipts and sharing_ledger: retained for 3 years for audit defensibility, then anonymized.</w:t>
      </w:r>
    </w:p>
    <w:p>
      <w:pPr>
        <w:pStyle w:val="ListParagraph"/>
        <w:numPr>
          <w:ilvl w:val="0"/>
          <w:numId w:val="1"/>
        </w:numPr>
        <w:spacing w:after="90" w:line="290"/>
      </w:pPr>
      <w:r>
        <w:rPr>
          <w:rFonts w:ascii="Calibri" w:cs="Calibri" w:eastAsia="Calibri" w:hAnsi="Calibri"/>
          <w:color w:val="1F2933"/>
          <w:sz w:val="22"/>
          <w:szCs w:val="22"/>
        </w:rPr>
        <w:t xml:space="preserve">audit_log device/session data: retained 12 months, then purged.</w:t>
      </w:r>
    </w:p>
    <w:p>
      <w:pPr>
        <w:pStyle w:val="ListParagraph"/>
        <w:numPr>
          <w:ilvl w:val="0"/>
          <w:numId w:val="1"/>
        </w:numPr>
        <w:spacing w:after="90" w:line="290"/>
      </w:pPr>
      <w:r>
        <w:rPr>
          <w:rFonts w:ascii="Calibri" w:cs="Calibri" w:eastAsia="Calibri" w:hAnsi="Calibri"/>
          <w:color w:val="1F2933"/>
          <w:sz w:val="22"/>
          <w:szCs w:val="22"/>
        </w:rPr>
        <w:t xml:space="preserve">On a completed erasure request: users, consent_records and any directly identifying fields are purged within 30 days; consent_receipts are anonymized (user_id replaced with a one-way token) rather than deleted, to preserve audit integrity without retaining personal data.</w:t>
      </w:r>
    </w:p>
    <w:p>
      <w:pPr>
        <w:pStyle w:val="Heading2"/>
        <w:spacing w:after="140" w:before="300"/>
      </w:pPr>
      <w:r>
        <w:t xml:space="preserve">Encryption Strategy</w:t>
      </w:r>
    </w:p>
    <w:p>
      <w:pPr>
        <w:pStyle w:val="ListParagraph"/>
        <w:numPr>
          <w:ilvl w:val="0"/>
          <w:numId w:val="1"/>
        </w:numPr>
        <w:spacing w:after="90" w:line="290"/>
      </w:pPr>
      <w:r>
        <w:rPr>
          <w:rFonts w:ascii="Calibri" w:cs="Calibri" w:eastAsia="Calibri" w:hAnsi="Calibri"/>
          <w:color w:val="1F2933"/>
          <w:sz w:val="22"/>
          <w:szCs w:val="22"/>
        </w:rPr>
        <w:t xml:space="preserve">Encryption at rest (AES-256) for all tables above; field-level encryption for phone numbers and payment tokens.</w:t>
      </w:r>
    </w:p>
    <w:p>
      <w:pPr>
        <w:pStyle w:val="ListParagraph"/>
        <w:numPr>
          <w:ilvl w:val="0"/>
          <w:numId w:val="1"/>
        </w:numPr>
        <w:spacing w:after="90" w:line="290"/>
      </w:pPr>
      <w:r>
        <w:rPr>
          <w:rFonts w:ascii="Calibri" w:cs="Calibri" w:eastAsia="Calibri" w:hAnsi="Calibri"/>
          <w:color w:val="1F2933"/>
          <w:sz w:val="22"/>
          <w:szCs w:val="22"/>
        </w:rPr>
        <w:t xml:space="preserve">Encryption in transit (TLS 1.3) between all services and at the API Gateway edge.</w:t>
      </w:r>
    </w:p>
    <w:p>
      <w:pPr>
        <w:pStyle w:val="ListParagraph"/>
        <w:numPr>
          <w:ilvl w:val="0"/>
          <w:numId w:val="1"/>
        </w:numPr>
        <w:spacing w:after="90" w:line="290"/>
      </w:pPr>
      <w:r>
        <w:rPr>
          <w:rFonts w:ascii="Calibri" w:cs="Calibri" w:eastAsia="Calibri" w:hAnsi="Calibri"/>
          <w:color w:val="1F2933"/>
          <w:sz w:val="22"/>
          <w:szCs w:val="22"/>
        </w:rPr>
        <w:t xml:space="preserve">Proxy-number mappings for delivery calls are stored in a short-TTL cache, not the primary database, and expire automatically at delivery.</w:t>
      </w:r>
    </w:p>
    <w:p>
      <w:r>
        <w:br w:type="page"/>
      </w:r>
    </w:p>
    <w:p>
      <w:pPr>
        <w:pStyle w:val="Heading1"/>
        <w:pBdr>
          <w:bottom w:val="single" w:color="E23744" w:sz="10" w:space="6"/>
        </w:pBdr>
        <w:spacing w:after="200" w:before="420"/>
      </w:pPr>
      <w:r>
        <w:t xml:space="preserve">10. API Design (Representative Endpoints)</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3400"/>
        <w:gridCol w:w="1400"/>
        <w:gridCol w:w="4550"/>
      </w:tblGrid>
      <w:tr>
        <w:trPr>
          <w:tblHeader/>
        </w:trPr>
        <w:tc>
          <w:tcPr>
            <w:tcW w:type="dxa" w:w="34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Endpoint</w:t>
            </w:r>
          </w:p>
        </w:tc>
        <w:tc>
          <w:tcPr>
            <w:tcW w:type="dxa" w:w="14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Method</w:t>
            </w:r>
          </w:p>
        </w:tc>
        <w:tc>
          <w:tcPr>
            <w:tcW w:type="dxa" w:w="45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Purpose</w:t>
            </w:r>
          </w:p>
        </w:tc>
      </w:tr>
      <w:tr>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/v1/consent/purposes</w:t>
            </w:r>
          </w:p>
        </w:tc>
        <w:tc>
          <w:tcPr>
            <w:tcW w:type="dxa" w:w="1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List all purposes and the user's current state for each.</w:t>
            </w:r>
          </w:p>
        </w:tc>
      </w:tr>
      <w:tr>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/v1/consent/{purposeId}</w:t>
            </w:r>
          </w:p>
        </w:tc>
        <w:tc>
          <w:tcPr>
            <w:tcW w:type="dxa" w:w="1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PATCH</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Update a single purpose's consent state; writes a receipt.</w:t>
            </w:r>
          </w:p>
        </w:tc>
      </w:tr>
      <w:tr>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/v1/consent/receipts</w:t>
            </w:r>
          </w:p>
        </w:tc>
        <w:tc>
          <w:tcPr>
            <w:tcW w:type="dxa" w:w="1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Paginated consent timeline for the authenticated user.</w:t>
            </w:r>
          </w:p>
        </w:tc>
      </w:tr>
      <w:tr>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/v1/privacy/score</w:t>
            </w:r>
          </w:p>
        </w:tc>
        <w:tc>
          <w:tcPr>
            <w:tcW w:type="dxa" w:w="1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GET</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 Score and sub-score breakdown for the Privacy Dashboard.</w:t>
            </w:r>
          </w:p>
        </w:tc>
      </w:tr>
      <w:tr>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/v1/privacy/flow-map</w:t>
            </w:r>
          </w:p>
        </w:tc>
        <w:tc>
          <w:tcPr>
            <w:tcW w:type="dxa" w:w="1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Current data-flow state per recipient (Zomato, restaurant, delivery, ads).</w:t>
            </w:r>
          </w:p>
        </w:tc>
      </w:tr>
      <w:tr>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/v1/orders/{orderId}/nutrition-label</w:t>
            </w:r>
          </w:p>
        </w:tc>
        <w:tc>
          <w:tcPr>
            <w:tcW w:type="dxa" w:w="1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GET</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Itemised data-usage breakdown for one order.</w:t>
            </w:r>
          </w:p>
        </w:tc>
      </w:tr>
      <w:tr>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/v1/rights/export</w:t>
            </w:r>
          </w:p>
        </w:tc>
        <w:tc>
          <w:tcPr>
            <w:tcW w:type="dxa" w:w="1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POST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Create a self-serve data-export job.</w:t>
            </w:r>
          </w:p>
        </w:tc>
      </w:tr>
      <w:tr>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/v1/rights/delete</w:t>
            </w:r>
          </w:p>
        </w:tc>
        <w:tc>
          <w:tcPr>
            <w:tcW w:type="dxa" w:w="1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POST</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Create a self-serve erasure job.</w:t>
            </w:r>
          </w:p>
        </w:tc>
      </w:tr>
      <w:tr>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/v1/sharing-ledger</w:t>
            </w:r>
          </w:p>
        </w:tc>
        <w:tc>
          <w:tcPr>
            <w:tcW w:type="dxa" w:w="1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Paginated third-party disclosure history.</w:t>
            </w:r>
          </w:p>
        </w:tc>
      </w:tr>
      <w:tr>
        <w:tc>
          <w:tcPr>
            <w:tcW w:type="dxa" w:w="3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/v1/grievances</w:t>
            </w:r>
          </w:p>
        </w:tc>
        <w:tc>
          <w:tcPr>
            <w:tcW w:type="dxa" w:w="1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POST</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Submit a grievance; returns a tracked reference number.</w:t>
            </w:r>
          </w:p>
        </w:tc>
      </w:tr>
      <w:tr>
        <w:tc>
          <w:tcPr>
            <w:tcW w:type="dxa" w:w="3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/v1/assistant/ask</w:t>
            </w:r>
          </w:p>
        </w:tc>
        <w:tc>
          <w:tcPr>
            <w:tcW w:type="dxa" w:w="1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POST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Submit a constrained question key; returns a template answer grounded in live state.</w:t>
            </w:r>
          </w:p>
        </w:tc>
      </w:tr>
    </w:tbl>
    <w:p>
      <w:pPr>
        <w:spacing w:after="240"/>
      </w:pPr>
      <w:r>
        <w:rPr>
          <w:rFonts w:ascii="Calibri" w:cs="Calibri" w:eastAsia="Calibri" w:hAnsi="Calibri"/>
          <w:i/>
          <w:iCs/>
          <w:color w:val="5B6773"/>
          <w:sz w:val="19"/>
          <w:szCs w:val="19"/>
        </w:rPr>
        <w:t xml:space="preserve">All endpoints sit behind the API Gateway (OAuth2 bearer auth, per-user rate limiting) and are versioned via the /v1 path prefix; breaking changes ship as /v2 with a deprecation window.</w:t>
      </w:r>
    </w:p>
    <w:p>
      <w:pPr>
        <w:pStyle w:val="Heading2"/>
        <w:spacing w:after="140" w:before="300"/>
      </w:pPr>
      <w:r>
        <w:t xml:space="preserve">Error Handling &amp; Rate Limits</w:t>
      </w:r>
    </w:p>
    <w:p>
      <w:pPr>
        <w:pStyle w:val="ListParagraph"/>
        <w:numPr>
          <w:ilvl w:val="0"/>
          <w:numId w:val="1"/>
        </w:numPr>
        <w:spacing w:after="90" w:line="290"/>
      </w:pPr>
      <w:r>
        <w:rPr>
          <w:rFonts w:ascii="Calibri" w:cs="Calibri" w:eastAsia="Calibri" w:hAnsi="Calibri"/>
          <w:color w:val="1F2933"/>
          <w:sz w:val="22"/>
          <w:szCs w:val="22"/>
        </w:rPr>
        <w:t xml:space="preserve">Standard error envelope: { error_code, message, request_id } on all 4xx/5xx responses.</w:t>
      </w:r>
    </w:p>
    <w:p>
      <w:pPr>
        <w:pStyle w:val="ListParagraph"/>
        <w:numPr>
          <w:ilvl w:val="0"/>
          <w:numId w:val="1"/>
        </w:numPr>
        <w:spacing w:after="90" w:line="290"/>
      </w:pPr>
      <w:r>
        <w:rPr>
          <w:rFonts w:ascii="Calibri" w:cs="Calibri" w:eastAsia="Calibri" w:hAnsi="Calibri"/>
          <w:color w:val="1F2933"/>
          <w:sz w:val="22"/>
          <w:szCs w:val="22"/>
        </w:rPr>
        <w:t xml:space="preserve">Consent writes are idempotent by (user_id, purpose_id, client_request_id) to safely handle client retries.</w:t>
      </w:r>
    </w:p>
    <w:p>
      <w:pPr>
        <w:pStyle w:val="ListParagraph"/>
        <w:numPr>
          <w:ilvl w:val="0"/>
          <w:numId w:val="1"/>
        </w:numPr>
        <w:spacing w:after="90" w:line="290"/>
      </w:pPr>
      <w:r>
        <w:rPr>
          <w:rFonts w:ascii="Calibri" w:cs="Calibri" w:eastAsia="Calibri" w:hAnsi="Calibri"/>
          <w:color w:val="1F2933"/>
          <w:sz w:val="22"/>
          <w:szCs w:val="22"/>
        </w:rPr>
        <w:t xml:space="preserve">Default rate limit: 100 requests/minute per user on read endpoints, 20/minute on write endpoints, returned via standard 429 + Retry-After.</w:t>
      </w:r>
    </w:p>
    <w:p>
      <w:r>
        <w:br w:type="page"/>
      </w:r>
    </w:p>
    <w:p>
      <w:pPr>
        <w:pStyle w:val="Heading1"/>
        <w:pBdr>
          <w:bottom w:val="single" w:color="E23744" w:sz="10" w:space="6"/>
        </w:pBdr>
        <w:spacing w:after="200" w:before="420"/>
      </w:pPr>
      <w:r>
        <w:t xml:space="preserve">11. Security Architecture</w:t>
      </w:r>
    </w:p>
    <w:p>
      <w:pPr>
        <w:pStyle w:val="ListParagraph"/>
        <w:numPr>
          <w:ilvl w:val="0"/>
          <w:numId w:val="1"/>
        </w:numPr>
        <w:spacing w:after="90" w:line="290"/>
      </w:pPr>
      <w:r>
        <w:rPr>
          <w:rFonts w:ascii="Calibri" w:cs="Calibri" w:eastAsia="Calibri" w:hAnsi="Calibri"/>
          <w:color w:val="1F2933"/>
          <w:sz w:val="22"/>
          <w:szCs w:val="22"/>
        </w:rPr>
        <w:t xml:space="preserve">Encryption at rest (AES-256) and in transit (TLS 1.3) across all consent, order and audit data stores.</w:t>
      </w:r>
    </w:p>
    <w:p>
      <w:pPr>
        <w:pStyle w:val="ListParagraph"/>
        <w:numPr>
          <w:ilvl w:val="0"/>
          <w:numId w:val="1"/>
        </w:numPr>
        <w:spacing w:after="90" w:line="290"/>
      </w:pPr>
      <w:r>
        <w:rPr>
          <w:rFonts w:ascii="Calibri" w:cs="Calibri" w:eastAsia="Calibri" w:hAnsi="Calibri"/>
          <w:color w:val="1F2933"/>
          <w:sz w:val="22"/>
          <w:szCs w:val="22"/>
        </w:rPr>
        <w:t xml:space="preserve">Role-Based Access Control (RBAC) for internal tooling: support agents can view but not silently alter consent state; every override is itself logged to the Audit Service.</w:t>
      </w:r>
    </w:p>
    <w:p>
      <w:pPr>
        <w:pStyle w:val="ListParagraph"/>
        <w:numPr>
          <w:ilvl w:val="0"/>
          <w:numId w:val="1"/>
        </w:numPr>
        <w:spacing w:after="90" w:line="290"/>
      </w:pPr>
      <w:r>
        <w:rPr>
          <w:rFonts w:ascii="Calibri" w:cs="Calibri" w:eastAsia="Calibri" w:hAnsi="Calibri"/>
          <w:color w:val="1F2933"/>
          <w:sz w:val="22"/>
          <w:szCs w:val="22"/>
        </w:rPr>
        <w:t xml:space="preserve">Zero-trust internal networking between microservices, with mutual TLS between the Gateway and each backend service.</w:t>
      </w:r>
    </w:p>
    <w:p>
      <w:pPr>
        <w:pStyle w:val="ListParagraph"/>
        <w:numPr>
          <w:ilvl w:val="0"/>
          <w:numId w:val="1"/>
        </w:numPr>
        <w:spacing w:after="90" w:line="290"/>
      </w:pPr>
      <w:r>
        <w:rPr>
          <w:rFonts w:ascii="Calibri" w:cs="Calibri" w:eastAsia="Calibri" w:hAnsi="Calibri"/>
          <w:color w:val="1F2933"/>
          <w:sz w:val="22"/>
          <w:szCs w:val="22"/>
        </w:rPr>
        <w:t xml:space="preserve">Key management via a dedicated KMS with automatic rotation; proxy-number and export-file encryption keys are scoped per-request, not shared.</w:t>
      </w:r>
    </w:p>
    <w:p>
      <w:pPr>
        <w:pStyle w:val="ListParagraph"/>
        <w:numPr>
          <w:ilvl w:val="0"/>
          <w:numId w:val="1"/>
        </w:numPr>
        <w:spacing w:after="90" w:line="290"/>
      </w:pPr>
      <w:r>
        <w:rPr>
          <w:rFonts w:ascii="Calibri" w:cs="Calibri" w:eastAsia="Calibri" w:hAnsi="Calibri"/>
          <w:color w:val="1F2933"/>
          <w:sz w:val="22"/>
          <w:szCs w:val="22"/>
        </w:rPr>
        <w:t xml:space="preserve">Session management: device-bound sessions surfaced directly to the user in Security &amp; Activity, with one-tap “Sign out other devices.”</w:t>
      </w:r>
    </w:p>
    <w:p>
      <w:pPr>
        <w:pStyle w:val="ListParagraph"/>
        <w:numPr>
          <w:ilvl w:val="0"/>
          <w:numId w:val="1"/>
        </w:numPr>
        <w:spacing w:after="90" w:line="290"/>
      </w:pPr>
      <w:r>
        <w:rPr>
          <w:rFonts w:ascii="Calibri" w:cs="Calibri" w:eastAsia="Calibri" w:hAnsi="Calibri"/>
          <w:color w:val="1F2933"/>
          <w:sz w:val="22"/>
          <w:szCs w:val="22"/>
        </w:rPr>
        <w:t xml:space="preserve">Threat detection: anomalous consent-change velocity (e.g., many rapid purpose toggles) or export requests from a new device trigger a step-up verification prompt.</w:t>
      </w:r>
    </w:p>
    <w:p>
      <w:pPr>
        <w:pStyle w:val="ListParagraph"/>
        <w:numPr>
          <w:ilvl w:val="0"/>
          <w:numId w:val="1"/>
        </w:numPr>
        <w:spacing w:after="90" w:line="290"/>
      </w:pPr>
      <w:r>
        <w:rPr>
          <w:rFonts w:ascii="Calibri" w:cs="Calibri" w:eastAsia="Calibri" w:hAnsi="Calibri"/>
          <w:color w:val="1F2933"/>
          <w:sz w:val="22"/>
          <w:szCs w:val="22"/>
        </w:rPr>
        <w:t xml:space="preserve">All of the above are independently exercised by the audit trail that also powers the user-facing Sharing Ledger — security and transparency share one data model instead of two.</w:t>
      </w:r>
    </w:p>
    <w:p>
      <w:r>
        <w:br w:type="page"/>
      </w:r>
    </w:p>
    <w:p>
      <w:pPr>
        <w:pStyle w:val="Heading1"/>
        <w:pBdr>
          <w:bottom w:val="single" w:color="E23744" w:sz="10" w:space="6"/>
        </w:pBdr>
        <w:spacing w:after="200" w:before="420"/>
      </w:pPr>
      <w:r>
        <w:t xml:space="preserve">12. DPDP Act, 2023 — Compliance Mapping</w:t>
      </w:r>
    </w:p>
    <w:p>
      <w:pPr>
        <w:spacing w:after="160" w:line="300"/>
      </w:pPr>
      <w:r>
        <w:rPr>
          <w:rFonts w:ascii="Calibri" w:cs="Calibri" w:eastAsia="Calibri" w:hAnsi="Calibri"/>
          <w:color w:val="1F2933"/>
          <w:sz w:val="22"/>
          <w:szCs w:val="22"/>
        </w:rPr>
        <w:t xml:space="preserve">Every major DPDP obligation mapped to the specific product feature, engineering mechanism, and user-facing benefit that satisfies it.</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2050"/>
        <w:gridCol w:w="2050"/>
        <w:gridCol w:w="2650"/>
        <w:gridCol w:w="2600"/>
      </w:tblGrid>
      <w:tr>
        <w:trPr>
          <w:tblHeader/>
        </w:trPr>
        <w:tc>
          <w:tcPr>
            <w:tcW w:type="dxa" w:w="20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DPDP Requirement</w:t>
            </w:r>
          </w:p>
        </w:tc>
        <w:tc>
          <w:tcPr>
            <w:tcW w:type="dxa" w:w="20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Product Feature</w:t>
            </w:r>
          </w:p>
        </w:tc>
        <w:tc>
          <w:tcPr>
            <w:tcW w:type="dxa" w:w="26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Engineering Mechanism</w:t>
            </w:r>
          </w:p>
        </w:tc>
        <w:tc>
          <w:tcPr>
            <w:tcW w:type="dxa" w:w="26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User Benefit</w:t>
            </w:r>
          </w:p>
        </w:tc>
      </w:tr>
      <w:tr>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Notice (Sec. 5)</w:t>
            </w:r>
          </w:p>
        </w:tc>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Onboarding + Nutrition Label</w:t>
            </w:r>
          </w:p>
        </w:tc>
        <w:tc>
          <w:tcPr>
            <w:tcW w:type="dxa" w:w="2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Consent-text hash stored per receipt; label generated per order from live consent state</w:t>
            </w:r>
          </w:p>
        </w:tc>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Understands what's collected before agreeing, not after</w:t>
            </w:r>
          </w:p>
        </w:tc>
      </w:tr>
      <w:tr>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Purpose-wise, specific consent (Sec. 6)</w:t>
            </w:r>
          </w:p>
        </w:tc>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Purpose-wise Consent + channel/field-level toggles</w:t>
            </w:r>
          </w:p>
        </w:tc>
        <w:tc>
          <w:tcPr>
            <w:tcW w:type="dxa" w:w="2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Independent ConsentRecord per purpose/channel/field</w:t>
            </w:r>
          </w:p>
        </w:tc>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Can opt out of one purpose without losing others</w:t>
            </w:r>
          </w:p>
        </w:tc>
      </w:tr>
      <w:tr>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 withdrawal “as easy as giving” (Sec. 6(4))</w:t>
            </w:r>
          </w:p>
        </w:tc>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 Consent with one-tap Undo</w:t>
            </w:r>
          </w:p>
        </w:tc>
        <w:tc>
          <w:tcPr>
            <w:tcW w:type="dxa" w:w="2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Same PATCH endpoint for grant and withdrawal; receipt written either way</w:t>
            </w:r>
          </w:p>
        </w:tc>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 extra friction to say no versus yes</w:t>
            </w:r>
          </w:p>
        </w:tc>
      </w:tr>
      <w:tr>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Data minimization (Sec. 6)</w:t>
            </w:r>
          </w:p>
        </w:tc>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Contextual Location Controls, field-level sharing</w:t>
            </w:r>
          </w:p>
        </w:tc>
        <w:tc>
          <w:tcPr>
            <w:tcW w:type="dxa" w:w="2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Geofenced, time-boxed permission windows enforced server-side</w:t>
            </w:r>
          </w:p>
        </w:tc>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Location and fields shared only when actually needed</w:t>
            </w:r>
          </w:p>
        </w:tc>
      </w:tr>
      <w:tr>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Storage limitation</w:t>
            </w:r>
          </w:p>
        </w:tc>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Retention policy on receipts, ledger, audit log</w:t>
            </w:r>
          </w:p>
        </w:tc>
        <w:tc>
          <w:tcPr>
            <w:tcW w:type="dxa" w:w="2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TTL-based purge/anonymization jobs</w:t>
            </w:r>
          </w:p>
        </w:tc>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Data doesn't linger past its purpose</w:t>
            </w:r>
          </w:p>
        </w:tc>
      </w:tr>
      <w:tr>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Right to Access (Sec. 11)</w:t>
            </w:r>
          </w:p>
        </w:tc>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Download My Data</w:t>
            </w:r>
          </w:p>
        </w:tc>
        <w:tc>
          <w:tcPr>
            <w:tcW w:type="dxa" w:w="2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Async export job via Data Rights Service</w:t>
            </w:r>
          </w:p>
        </w:tc>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Self-serve export, no ticket</w:t>
            </w:r>
          </w:p>
        </w:tc>
      </w:tr>
      <w:tr>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Right to Correction &amp; Erasure (Sec. 12)</w:t>
            </w:r>
          </w:p>
        </w:tc>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Delete My Data</w:t>
            </w:r>
          </w:p>
        </w:tc>
        <w:tc>
          <w:tcPr>
            <w:tcW w:type="dxa" w:w="2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Async erasure job with completion receipt</w:t>
            </w:r>
          </w:p>
        </w:tc>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Self-serve deletion, tracked to completion</w:t>
            </w:r>
          </w:p>
        </w:tc>
      </w:tr>
      <w:tr>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 Redressal (Sec. 13)</w:t>
            </w:r>
          </w:p>
        </w:tc>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 Redressal screen</w:t>
            </w:r>
          </w:p>
        </w:tc>
        <w:tc>
          <w:tcPr>
            <w:tcW w:type="dxa" w:w="2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Ticket queue with SLA timer and reference number</w:t>
            </w:r>
          </w:p>
        </w:tc>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Direct line to a named Grievance Officer</w:t>
            </w:r>
          </w:p>
        </w:tc>
      </w:tr>
      <w:tr>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Data Fiduciary obligations / reasonable security (Sec. 8)</w:t>
            </w:r>
          </w:p>
        </w:tc>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Security Architecture (encryption, RBAC, audit)</w:t>
            </w:r>
          </w:p>
        </w:tc>
        <w:tc>
          <w:tcPr>
            <w:tcW w:type="dxa" w:w="2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KMS-backed encryption, mutual TLS, anomaly detection</w:t>
            </w:r>
          </w:p>
        </w:tc>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Confidence that stated controls are actually enforced</w:t>
            </w:r>
          </w:p>
        </w:tc>
      </w:tr>
      <w:tr>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Significant Data Fiduciary transparency</w:t>
            </w:r>
          </w:p>
        </w:tc>
        <w:tc>
          <w:tcPr>
            <w:tcW w:type="dxa" w:w="2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Third-Party Sharing Ledger</w:t>
            </w:r>
          </w:p>
        </w:tc>
        <w:tc>
          <w:tcPr>
            <w:tcW w:type="dxa" w:w="2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Append-only audit event stream, exposed read-only to the user</w:t>
            </w:r>
          </w:p>
        </w:tc>
        <w:tc>
          <w:tcPr>
            <w:tcW w:type="dxa" w:w="2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Same visibility a regulator would have, self-served</w:t>
            </w:r>
          </w:p>
        </w:tc>
      </w:tr>
      <w:tr>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Children's data / verifiable parental consent (Sec. 9)</w:t>
            </w:r>
          </w:p>
        </w:tc>
        <w:tc>
          <w:tcPr>
            <w:tcW w:type="dxa" w:w="2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Roadmap: verifiable parental consent flow (Q1)</w:t>
            </w:r>
          </w:p>
        </w:tc>
        <w:tc>
          <w:tcPr>
            <w:tcW w:type="dxa" w:w="2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Planned age-gate + guardian verification step for shared/family accounts</w:t>
            </w:r>
          </w:p>
        </w:tc>
        <w:tc>
          <w:tcPr>
            <w:tcW w:type="dxa" w:w="2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Extra protection layer for minors on shared devices</w:t>
            </w:r>
          </w:p>
        </w:tc>
      </w:tr>
    </w:tbl>
    <w:p>
      <w:r>
        <w:br w:type="page"/>
      </w:r>
    </w:p>
    <w:p>
      <w:pPr>
        <w:pStyle w:val="Heading1"/>
        <w:pBdr>
          <w:bottom w:val="single" w:color="E23744" w:sz="10" w:space="6"/>
        </w:pBdr>
        <w:spacing w:after="200" w:before="420"/>
      </w:pPr>
      <w:r>
        <w:t xml:space="preserve">13. Metrics &amp; Success Criteria</w:t>
      </w:r>
    </w:p>
    <w:p>
      <w:pPr>
        <w:pStyle w:val="Heading2"/>
        <w:spacing w:after="140" w:before="300"/>
      </w:pPr>
      <w:r>
        <w:t xml:space="preserve">North Star Metric</w:t>
      </w:r>
    </w:p>
    <w:p>
      <w:pPr>
        <w:spacing w:after="160" w:line="300"/>
      </w:pPr>
      <w:r>
        <w:rPr>
          <w:rFonts w:ascii="Calibri" w:cs="Calibri" w:eastAsia="Calibri" w:hAnsi="Calibri"/>
          <w:color w:val="1F2933"/>
          <w:sz w:val="22"/>
          <w:szCs w:val="22"/>
        </w:rPr>
        <w:t xml:space="preserve">Share of active users with fully current, purpose-specific consent (“Valid Current Consent %”) — chosen because it is the single number that, if high, implies notice was clear, withdrawal was easy, and re-consent prompts are being completed rather than ignored.</w:t>
      </w:r>
    </w:p>
    <w:tbl>
      <w:tblPr>
        <w:tblW w:type="dxa" w:w="9350"/>
        <w:tblBorders>
          <w:top w:val="none"/>
          <w:left w:val="none"/>
          <w:bottom w:val="none"/>
          <w:right w:val="none"/>
          <w:insideH w:val="none"/>
          <w:insideV w:val="none"/>
        </w:tblBorders>
      </w:tblPr>
      <w:tblGrid>
        <w:gridCol w:w="2337"/>
        <w:gridCol w:w="2337"/>
        <w:gridCol w:w="2337"/>
        <w:gridCol w:w="2337"/>
      </w:tblGrid>
      <w:tr>
        <w:tc>
          <w:tcPr>
            <w:tcW w:type="dxa" w:w="2337"/>
            <w:shd w:fill="F7F5F2" w:color="auto" w:val="clear"/>
            <w:tcMar>
              <w:top w:type="dxa" w:w="160"/>
              <w:left w:type="dxa" w:w="140"/>
              <w:bottom w:type="dxa" w:w="160"/>
              <w:right w:type="dxa" w:w="140"/>
            </w:tcMar>
          </w:tcPr>
          <w:p>
            <w:pPr>
              <w:spacing w:after="40"/>
              <w:jc w:val="center"/>
            </w:pPr>
            <w:r>
              <w:rPr>
                <w:rFonts w:ascii="Calibri" w:cs="Calibri" w:eastAsia="Calibri" w:hAnsi="Calibri"/>
                <w:b/>
                <w:bCs/>
                <w:color w:val="E23744"/>
                <w:sz w:val="30"/>
                <w:szCs w:val="30"/>
              </w:rPr>
              <w:t xml:space="preserve">91.4%</w:t>
            </w:r>
          </w:p>
          <w:p>
            <w:pPr>
              <w:jc w:val="center"/>
            </w:pPr>
            <w:r>
              <w:rPr>
                <w:rFonts w:ascii="Calibri" w:cs="Calibri" w:eastAsia="Calibri" w:hAnsi="Calibri"/>
                <w:color w:val="5B6773"/>
                <w:sz w:val="17"/>
                <w:szCs w:val="17"/>
              </w:rPr>
              <w:t xml:space="preserve">Valid current consent</w:t>
            </w:r>
          </w:p>
        </w:tc>
        <w:tc>
          <w:tcPr>
            <w:tcW w:type="dxa" w:w="2337"/>
            <w:shd w:fill="F7F5F2" w:color="auto" w:val="clear"/>
            <w:tcMar>
              <w:top w:type="dxa" w:w="160"/>
              <w:left w:type="dxa" w:w="140"/>
              <w:bottom w:type="dxa" w:w="160"/>
              <w:right w:type="dxa" w:w="140"/>
            </w:tcMar>
          </w:tcPr>
          <w:p>
            <w:pPr>
              <w:spacing w:after="40"/>
              <w:jc w:val="center"/>
            </w:pPr>
            <w:r>
              <w:rPr>
                <w:rFonts w:ascii="Calibri" w:cs="Calibri" w:eastAsia="Calibri" w:hAnsi="Calibri"/>
                <w:b/>
                <w:bCs/>
                <w:color w:val="E23744"/>
                <w:sz w:val="30"/>
                <w:szCs w:val="30"/>
              </w:rPr>
              <w:t xml:space="preserve">96%</w:t>
            </w:r>
          </w:p>
          <w:p>
            <w:pPr>
              <w:jc w:val="center"/>
            </w:pPr>
            <w:r>
              <w:rPr>
                <w:rFonts w:ascii="Calibri" w:cs="Calibri" w:eastAsia="Calibri" w:hAnsi="Calibri"/>
                <w:color w:val="5B6773"/>
                <w:sz w:val="17"/>
                <w:szCs w:val="17"/>
              </w:rPr>
              <w:t xml:space="preserve">Self-serve resolution rate</w:t>
            </w:r>
          </w:p>
        </w:tc>
        <w:tc>
          <w:tcPr>
            <w:tcW w:type="dxa" w:w="2337"/>
            <w:shd w:fill="F7F5F2" w:color="auto" w:val="clear"/>
            <w:tcMar>
              <w:top w:type="dxa" w:w="160"/>
              <w:left w:type="dxa" w:w="140"/>
              <w:bottom w:type="dxa" w:w="160"/>
              <w:right w:type="dxa" w:w="140"/>
            </w:tcMar>
          </w:tcPr>
          <w:p>
            <w:pPr>
              <w:spacing w:after="40"/>
              <w:jc w:val="center"/>
            </w:pPr>
            <w:r>
              <w:rPr>
                <w:rFonts w:ascii="Calibri" w:cs="Calibri" w:eastAsia="Calibri" w:hAnsi="Calibri"/>
                <w:b/>
                <w:bCs/>
                <w:color w:val="E23744"/>
                <w:sz w:val="30"/>
                <w:szCs w:val="30"/>
              </w:rPr>
              <w:t xml:space="preserve">31 hrs</w:t>
            </w:r>
          </w:p>
          <w:p>
            <w:pPr>
              <w:jc w:val="center"/>
            </w:pPr>
            <w:r>
              <w:rPr>
                <w:rFonts w:ascii="Calibri" w:cs="Calibri" w:eastAsia="Calibri" w:hAnsi="Calibri"/>
                <w:color w:val="5B6773"/>
                <w:sz w:val="17"/>
                <w:szCs w:val="17"/>
              </w:rPr>
              <w:t xml:space="preserve">Avg. rights-request time</w:t>
            </w:r>
          </w:p>
        </w:tc>
        <w:tc>
          <w:tcPr>
            <w:tcW w:type="dxa" w:w="2337"/>
            <w:shd w:fill="F7F5F2" w:color="auto" w:val="clear"/>
            <w:tcMar>
              <w:top w:type="dxa" w:w="160"/>
              <w:left w:type="dxa" w:w="140"/>
              <w:bottom w:type="dxa" w:w="160"/>
              <w:right w:type="dxa" w:w="140"/>
            </w:tcMar>
          </w:tcPr>
          <w:p>
            <w:pPr>
              <w:spacing w:after="40"/>
              <w:jc w:val="center"/>
            </w:pPr>
            <w:r>
              <w:rPr>
                <w:rFonts w:ascii="Calibri" w:cs="Calibri" w:eastAsia="Calibri" w:hAnsi="Calibri"/>
                <w:b/>
                <w:bCs/>
                <w:color w:val="E23744"/>
                <w:sz w:val="30"/>
                <w:szCs w:val="30"/>
              </w:rPr>
              <w:t xml:space="preserve">58%</w:t>
            </w:r>
          </w:p>
          <w:p>
            <w:pPr>
              <w:jc w:val="center"/>
            </w:pPr>
            <w:r>
              <w:rPr>
                <w:rFonts w:ascii="Calibri" w:cs="Calibri" w:eastAsia="Calibri" w:hAnsi="Calibri"/>
                <w:color w:val="5B6773"/>
                <w:sz w:val="17"/>
                <w:szCs w:val="17"/>
              </w:rPr>
              <w:t xml:space="preserve">Personalization opt-in</w:t>
            </w:r>
          </w:p>
        </w:tc>
      </w:tr>
    </w:tbl>
    <w:p>
      <w:pPr>
        <w:pStyle w:val="Heading2"/>
        <w:spacing w:after="140" w:before="300"/>
      </w:pPr>
      <w:r>
        <w:t xml:space="preserve">Supporting KPIs</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1600"/>
        <w:gridCol w:w="4550"/>
        <w:gridCol w:w="3200"/>
      </w:tblGrid>
      <w:tr>
        <w:trPr>
          <w:tblHeader/>
        </w:trPr>
        <w:tc>
          <w:tcPr>
            <w:tcW w:type="dxa" w:w="16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Category</w:t>
            </w:r>
          </w:p>
        </w:tc>
        <w:tc>
          <w:tcPr>
            <w:tcW w:type="dxa" w:w="45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Metric</w:t>
            </w:r>
          </w:p>
        </w:tc>
        <w:tc>
          <w:tcPr>
            <w:tcW w:type="dxa" w:w="32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Target</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Business</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Privacy-related support ticket volume</w:t>
            </w:r>
          </w:p>
        </w:tc>
        <w:tc>
          <w:tcPr>
            <w:tcW w:type="dxa" w:w="3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–50% within 2 quarters of launch</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Product</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Onboarding completion rate for Privacy Onboarding</w:t>
            </w:r>
          </w:p>
        </w:tc>
        <w:tc>
          <w:tcPr>
            <w:tcW w:type="dxa" w:w="3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≥85%</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 Score (composite, 0–100)</w:t>
            </w:r>
          </w:p>
        </w:tc>
        <w:tc>
          <w:tcPr>
            <w:tcW w:type="dxa" w:w="3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≥85 median across active users</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Compliance</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Rights requests resolved within statutory window</w:t>
            </w:r>
          </w:p>
        </w:tc>
        <w:tc>
          <w:tcPr>
            <w:tcW w:type="dxa" w:w="3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100%</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Compliance</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Grievances acknowledged within 48 hours</w:t>
            </w:r>
          </w:p>
        </w:tc>
        <w:tc>
          <w:tcPr>
            <w:tcW w:type="dxa" w:w="3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≥98%</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Engineering</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 Service read-endpoint P99 latency</w:t>
            </w:r>
          </w:p>
        </w:tc>
        <w:tc>
          <w:tcPr>
            <w:tcW w:type="dxa" w:w="3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&lt;150 ms</w:t>
            </w:r>
          </w:p>
        </w:tc>
      </w:tr>
      <w:tr>
        <w:tc>
          <w:tcPr>
            <w:tcW w:type="dxa" w:w="16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Guardrail</w:t>
            </w:r>
          </w:p>
        </w:tc>
        <w:tc>
          <w:tcPr>
            <w:tcW w:type="dxa" w:w="4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Marketing opt-in rate</w:t>
            </w:r>
          </w:p>
        </w:tc>
        <w:tc>
          <w:tcPr>
            <w:tcW w:type="dxa" w:w="32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must not fall below pre-launch baseline</w:t>
            </w:r>
          </w:p>
        </w:tc>
      </w:tr>
      <w:tr>
        <w:tc>
          <w:tcPr>
            <w:tcW w:type="dxa" w:w="16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Guardrail</w:t>
            </w:r>
          </w:p>
        </w:tc>
        <w:tc>
          <w:tcPr>
            <w:tcW w:type="dxa" w:w="4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Order completion rate</w:t>
            </w:r>
          </w:p>
        </w:tc>
        <w:tc>
          <w:tcPr>
            <w:tcW w:type="dxa" w:w="32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 regression vs. pre-launch baseline</w:t>
            </w:r>
          </w:p>
        </w:tc>
      </w:tr>
    </w:tbl>
    <w:p>
      <w:r>
        <w:br w:type="page"/>
      </w:r>
    </w:p>
    <w:p>
      <w:pPr>
        <w:pStyle w:val="Heading1"/>
        <w:pBdr>
          <w:bottom w:val="single" w:color="E23744" w:sz="10" w:space="6"/>
        </w:pBdr>
        <w:spacing w:after="200" w:before="420"/>
      </w:pPr>
      <w:r>
        <w:t xml:space="preserve">14. Diagnostic Thinking — North Star Drop</w:t>
      </w:r>
    </w:p>
    <w:p>
      <w:pPr>
        <w:spacing w:after="160" w:line="300"/>
      </w:pPr>
      <w:r>
        <w:rPr>
          <w:rFonts w:ascii="Calibri" w:cs="Calibri" w:eastAsia="Calibri" w:hAnsi="Calibri"/>
          <w:color w:val="1F2933"/>
          <w:sz w:val="22"/>
          <w:szCs w:val="22"/>
        </w:rPr>
        <w:t xml:space="preserve">Scenario: Valid Current Consent % drops 15% week-over-week. Structured investigation before reacting.</w:t>
      </w:r>
    </w:p>
    <w:p>
      <w:pPr>
        <w:pStyle w:val="Heading2"/>
        <w:spacing w:after="140" w:before="300"/>
      </w:pPr>
      <w:r>
        <w:t xml:space="preserve">Hypothesis Tree</w:t>
      </w:r>
    </w:p>
    <w:p>
      <w:pPr>
        <w:pStyle w:val="ListParagraph"/>
        <w:numPr>
          <w:ilvl w:val="0"/>
          <w:numId w:val="1"/>
        </w:numPr>
        <w:spacing w:after="90" w:line="290"/>
      </w:pPr>
      <w:r>
        <w:rPr>
          <w:rFonts w:ascii="Calibri" w:cs="Calibri" w:eastAsia="Calibri" w:hAnsi="Calibri"/>
          <w:color w:val="1F2933"/>
          <w:sz w:val="22"/>
          <w:szCs w:val="22"/>
        </w:rPr>
        <w:t xml:space="preserve">Product change — a recent release altered the consent-prompt copy, default state, or re-consent cadence.</w:t>
      </w:r>
    </w:p>
    <w:p>
      <w:pPr>
        <w:pStyle w:val="ListParagraph"/>
        <w:numPr>
          <w:ilvl w:val="0"/>
          <w:numId w:val="1"/>
        </w:numPr>
        <w:spacing w:after="90" w:line="290"/>
      </w:pPr>
      <w:r>
        <w:rPr>
          <w:rFonts w:ascii="Calibri" w:cs="Calibri" w:eastAsia="Calibri" w:hAnsi="Calibri"/>
          <w:color w:val="1F2933"/>
          <w:sz w:val="22"/>
          <w:szCs w:val="22"/>
        </w:rPr>
        <w:t xml:space="preserve">Segment shift — a spike in new signups from a channel/region with lower completion rates skews the aggregate.</w:t>
      </w:r>
    </w:p>
    <w:p>
      <w:pPr>
        <w:pStyle w:val="ListParagraph"/>
        <w:numPr>
          <w:ilvl w:val="0"/>
          <w:numId w:val="1"/>
        </w:numPr>
        <w:spacing w:after="90" w:line="290"/>
      </w:pPr>
      <w:r>
        <w:rPr>
          <w:rFonts w:ascii="Calibri" w:cs="Calibri" w:eastAsia="Calibri" w:hAnsi="Calibri"/>
          <w:color w:val="1F2933"/>
          <w:sz w:val="22"/>
          <w:szCs w:val="22"/>
        </w:rPr>
        <w:t xml:space="preserve">Technical failure — the Consent Service write path is silently failing for a subset of requests (e.g., a specific app version or platform).</w:t>
      </w:r>
    </w:p>
    <w:p>
      <w:pPr>
        <w:pStyle w:val="ListParagraph"/>
        <w:numPr>
          <w:ilvl w:val="0"/>
          <w:numId w:val="1"/>
        </w:numPr>
        <w:spacing w:after="90" w:line="290"/>
      </w:pPr>
      <w:r>
        <w:rPr>
          <w:rFonts w:ascii="Calibri" w:cs="Calibri" w:eastAsia="Calibri" w:hAnsi="Calibri"/>
          <w:color w:val="1F2933"/>
          <w:sz w:val="22"/>
          <w:szCs w:val="22"/>
        </w:rPr>
        <w:t xml:space="preserve">External/regulatory — a scheduled annual re-consent prompt fired for a large cohort simultaneously, temporarily lowering the metric until they respond.</w:t>
      </w:r>
    </w:p>
    <w:p>
      <w:pPr>
        <w:pStyle w:val="Heading2"/>
        <w:spacing w:after="140" w:before="300"/>
      </w:pPr>
      <w:r>
        <w:t xml:space="preserve">Investigation Plan</w:t>
      </w:r>
    </w:p>
    <w:p>
      <w:pPr>
        <w:pStyle w:val="ListParagraph"/>
        <w:numPr>
          <w:ilvl w:val="0"/>
          <w:numId w:val="1"/>
        </w:numPr>
        <w:spacing w:after="90" w:line="290"/>
      </w:pPr>
      <w:r>
        <w:rPr>
          <w:rFonts w:ascii="Calibri" w:cs="Calibri" w:eastAsia="Calibri" w:hAnsi="Calibri"/>
          <w:color w:val="1F2933"/>
          <w:sz w:val="22"/>
          <w:szCs w:val="22"/>
        </w:rPr>
        <w:t xml:space="preserve">Segment the drop by app version, platform (iOS/Android/Web), signup channel, and cohort age within 2 hours.</w:t>
      </w:r>
    </w:p>
    <w:p>
      <w:pPr>
        <w:pStyle w:val="ListParagraph"/>
        <w:numPr>
          <w:ilvl w:val="0"/>
          <w:numId w:val="1"/>
        </w:numPr>
        <w:spacing w:after="90" w:line="290"/>
      </w:pPr>
      <w:r>
        <w:rPr>
          <w:rFonts w:ascii="Calibri" w:cs="Calibri" w:eastAsia="Calibri" w:hAnsi="Calibri"/>
          <w:color w:val="1F2933"/>
          <w:sz w:val="22"/>
          <w:szCs w:val="22"/>
        </w:rPr>
        <w:t xml:space="preserve">Check Consent Service write-success rate and P99 latency for anomalies correlated with the drop's start time.</w:t>
      </w:r>
    </w:p>
    <w:p>
      <w:pPr>
        <w:pStyle w:val="ListParagraph"/>
        <w:numPr>
          <w:ilvl w:val="0"/>
          <w:numId w:val="1"/>
        </w:numPr>
        <w:spacing w:after="90" w:line="290"/>
      </w:pPr>
      <w:r>
        <w:rPr>
          <w:rFonts w:ascii="Calibri" w:cs="Calibri" w:eastAsia="Calibri" w:hAnsi="Calibri"/>
          <w:color w:val="1F2933"/>
          <w:sz w:val="22"/>
          <w:szCs w:val="22"/>
        </w:rPr>
        <w:t xml:space="preserve">Diff the last two release notes against the Onboarding and Manage Consent flows for copy or default-state changes.</w:t>
      </w:r>
    </w:p>
    <w:p>
      <w:pPr>
        <w:pStyle w:val="ListParagraph"/>
        <w:numPr>
          <w:ilvl w:val="0"/>
          <w:numId w:val="1"/>
        </w:numPr>
        <w:spacing w:after="90" w:line="290"/>
      </w:pPr>
      <w:r>
        <w:rPr>
          <w:rFonts w:ascii="Calibri" w:cs="Calibri" w:eastAsia="Calibri" w:hAnsi="Calibri"/>
          <w:color w:val="1F2933"/>
          <w:sz w:val="22"/>
          <w:szCs w:val="22"/>
        </w:rPr>
        <w:t xml:space="preserve">Cross-reference against the re-consent scheduler to rule out an expected, self-resolving batch event.</w:t>
      </w:r>
    </w:p>
    <w:p>
      <w:pPr>
        <w:pStyle w:val="Heading2"/>
        <w:spacing w:after="140" w:before="300"/>
      </w:pPr>
      <w:r>
        <w:t xml:space="preserve">Recovery Strategy</w:t>
      </w:r>
    </w:p>
    <w:p>
      <w:pPr>
        <w:pStyle w:val="ListParagraph"/>
        <w:numPr>
          <w:ilvl w:val="0"/>
          <w:numId w:val="1"/>
        </w:numPr>
        <w:spacing w:after="90" w:line="290"/>
      </w:pPr>
      <w:r>
        <w:rPr>
          <w:rFonts w:ascii="Calibri" w:cs="Calibri" w:eastAsia="Calibri" w:hAnsi="Calibri"/>
          <w:color w:val="1F2933"/>
          <w:sz w:val="22"/>
          <w:szCs w:val="22"/>
        </w:rPr>
        <w:t xml:space="preserve">If a release regression: hotfix or feature-flag rollback within the same day; backfill affected receipts once the write path is confirmed healthy.</w:t>
      </w:r>
    </w:p>
    <w:p>
      <w:pPr>
        <w:pStyle w:val="ListParagraph"/>
        <w:numPr>
          <w:ilvl w:val="0"/>
          <w:numId w:val="1"/>
        </w:numPr>
        <w:spacing w:after="90" w:line="290"/>
      </w:pPr>
      <w:r>
        <w:rPr>
          <w:rFonts w:ascii="Calibri" w:cs="Calibri" w:eastAsia="Calibri" w:hAnsi="Calibri"/>
          <w:color w:val="1F2933"/>
          <w:sz w:val="22"/>
          <w:szCs w:val="22"/>
        </w:rPr>
        <w:t xml:space="preserve">If a scheduled re-consent batch: no rollback needed — monitor completion curve over 72 hours before escalating.</w:t>
      </w:r>
    </w:p>
    <w:p>
      <w:pPr>
        <w:pStyle w:val="ListParagraph"/>
        <w:numPr>
          <w:ilvl w:val="0"/>
          <w:numId w:val="1"/>
        </w:numPr>
        <w:spacing w:after="90" w:line="290"/>
      </w:pPr>
      <w:r>
        <w:rPr>
          <w:rFonts w:ascii="Calibri" w:cs="Calibri" w:eastAsia="Calibri" w:hAnsi="Calibri"/>
          <w:color w:val="1F2933"/>
          <w:sz w:val="22"/>
          <w:szCs w:val="22"/>
        </w:rPr>
        <w:t xml:space="preserve">If channel-driven: partner with growth to adjust the onboarding experience for the specific channel rather than the whole funnel.</w:t>
      </w:r>
    </w:p>
    <w:p>
      <w:r>
        <w:br w:type="page"/>
      </w:r>
    </w:p>
    <w:p>
      <w:pPr>
        <w:pStyle w:val="Heading1"/>
        <w:pBdr>
          <w:bottom w:val="single" w:color="E23744" w:sz="10" w:space="6"/>
        </w:pBdr>
        <w:spacing w:after="200" w:before="420"/>
      </w:pPr>
      <w:r>
        <w:t xml:space="preserve">15. Rollout Strategy</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2000"/>
        <w:gridCol w:w="4900"/>
        <w:gridCol w:w="2450"/>
      </w:tblGrid>
      <w:tr>
        <w:trPr>
          <w:tblHeader/>
        </w:trPr>
        <w:tc>
          <w:tcPr>
            <w:tcW w:type="dxa" w:w="20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Phase</w:t>
            </w:r>
          </w:p>
        </w:tc>
        <w:tc>
          <w:tcPr>
            <w:tcW w:type="dxa" w:w="49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Scope</w:t>
            </w:r>
          </w:p>
        </w:tc>
        <w:tc>
          <w:tcPr>
            <w:tcW w:type="dxa" w:w="24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Gate to next phase</w:t>
            </w:r>
          </w:p>
        </w:tc>
      </w:tr>
      <w:tr>
        <w:tc>
          <w:tcPr>
            <w:tcW w:type="dxa" w:w="20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0. Legal validation</w:t>
            </w:r>
          </w:p>
        </w:tc>
        <w:tc>
          <w:tcPr>
            <w:tcW w:type="dxa" w:w="4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Counsel and Trust &amp; Safety sign off on consent text, purpose catalog, and Grievance Officer designation.</w:t>
            </w:r>
          </w:p>
        </w:tc>
        <w:tc>
          <w:tcPr>
            <w:tcW w:type="dxa" w:w="24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Written legal sign-off</w:t>
            </w:r>
          </w:p>
        </w:tc>
      </w:tr>
      <w:tr>
        <w:tc>
          <w:tcPr>
            <w:tcW w:type="dxa" w:w="20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 Internal pilot</w:t>
            </w:r>
          </w:p>
        </w:tc>
        <w:tc>
          <w:tcPr>
            <w:tcW w:type="dxa" w:w="4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Zomato employees (dogfood) on a feature flag; all 21 screens live, synthetic data only.</w:t>
            </w:r>
          </w:p>
        </w:tc>
        <w:tc>
          <w:tcPr>
            <w:tcW w:type="dxa" w:w="24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Zero P0/P1 bugs for 1 week</w:t>
            </w:r>
          </w:p>
        </w:tc>
      </w:tr>
      <w:tr>
        <w:tc>
          <w:tcPr>
            <w:tcW w:type="dxa" w:w="20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2. Limited external pilot</w:t>
            </w:r>
          </w:p>
        </w:tc>
        <w:tc>
          <w:tcPr>
            <w:tcW w:type="dxa" w:w="4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5% of new signups in one metro (Bengaluru), full flow including self-serve rights requests.</w:t>
            </w:r>
          </w:p>
        </w:tc>
        <w:tc>
          <w:tcPr>
            <w:tcW w:type="dxa" w:w="24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 completion ≥80%, no rights-request SLA breach</w:t>
            </w:r>
          </w:p>
        </w:tc>
      </w:tr>
      <w:tr>
        <w:tc>
          <w:tcPr>
            <w:tcW w:type="dxa" w:w="20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3. Phased national rollout</w:t>
            </w:r>
          </w:p>
        </w:tc>
        <w:tc>
          <w:tcPr>
            <w:tcW w:type="dxa" w:w="4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25% → 50% → 100% of new signups over 4 weeks, monitored against guardrail metrics.</w:t>
            </w:r>
          </w:p>
        </w:tc>
        <w:tc>
          <w:tcPr>
            <w:tcW w:type="dxa" w:w="24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No guardrail metric regression at each step</w:t>
            </w:r>
          </w:p>
        </w:tc>
      </w:tr>
      <w:tr>
        <w:tc>
          <w:tcPr>
            <w:tcW w:type="dxa" w:w="20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4. Existing-user migration</w:t>
            </w:r>
          </w:p>
        </w:tc>
        <w:tc>
          <w:tcPr>
            <w:tcW w:type="dxa" w:w="4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Prompt existing users to re-consent under the new purpose-wise model with a grace-period banner.</w:t>
            </w:r>
          </w:p>
        </w:tc>
        <w:tc>
          <w:tcPr>
            <w:tcW w:type="dxa" w:w="24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≥90% re-consent completion within 60 days</w:t>
            </w:r>
          </w:p>
        </w:tc>
      </w:tr>
      <w:tr>
        <w:tc>
          <w:tcPr>
            <w:tcW w:type="dxa" w:w="20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5. Group expansion</w:t>
            </w:r>
          </w:p>
        </w:tc>
        <w:tc>
          <w:tcPr>
            <w:tcW w:type="dxa" w:w="4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Offer the shared Consent Service to Blinkit and District as an internal platform capability.</w:t>
            </w:r>
          </w:p>
        </w:tc>
        <w:tc>
          <w:tcPr>
            <w:tcW w:type="dxa" w:w="24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Product sign-off from each surface</w:t>
            </w:r>
          </w:p>
        </w:tc>
      </w:tr>
    </w:tbl>
    <w:p>
      <w:pPr>
        <w:pStyle w:val="Heading2"/>
        <w:spacing w:after="140" w:before="300"/>
      </w:pPr>
      <w:r>
        <w:t xml:space="preserve">Feature Flags &amp; Monitoring</w:t>
      </w:r>
    </w:p>
    <w:p>
      <w:pPr>
        <w:pStyle w:val="ListParagraph"/>
        <w:numPr>
          <w:ilvl w:val="0"/>
          <w:numId w:val="1"/>
        </w:numPr>
        <w:spacing w:after="90" w:line="290"/>
      </w:pPr>
      <w:r>
        <w:rPr>
          <w:rFonts w:ascii="Calibri" w:cs="Calibri" w:eastAsia="Calibri" w:hAnsi="Calibri"/>
          <w:color w:val="1F2933"/>
          <w:sz w:val="22"/>
          <w:szCs w:val="22"/>
        </w:rPr>
        <w:t xml:space="preserve">Every new screen sits behind its own flag so a regression in, say, the Live Data Flow Map does not require rolling back Manage Consent.</w:t>
      </w:r>
    </w:p>
    <w:p>
      <w:pPr>
        <w:pStyle w:val="ListParagraph"/>
        <w:numPr>
          <w:ilvl w:val="0"/>
          <w:numId w:val="1"/>
        </w:numPr>
        <w:spacing w:after="90" w:line="290"/>
      </w:pPr>
      <w:r>
        <w:rPr>
          <w:rFonts w:ascii="Calibri" w:cs="Calibri" w:eastAsia="Calibri" w:hAnsi="Calibri"/>
          <w:color w:val="1F2933"/>
          <w:sz w:val="22"/>
          <w:szCs w:val="22"/>
        </w:rPr>
        <w:t xml:space="preserve">Real-time dashboards track Valid Current Consent %, rights-request SLA, and Consent Service error rate throughout rollout.</w:t>
      </w:r>
    </w:p>
    <w:p>
      <w:pPr>
        <w:pStyle w:val="ListParagraph"/>
        <w:numPr>
          <w:ilvl w:val="0"/>
          <w:numId w:val="1"/>
        </w:numPr>
        <w:spacing w:after="90" w:line="290"/>
      </w:pPr>
      <w:r>
        <w:rPr>
          <w:rFonts w:ascii="Calibri" w:cs="Calibri" w:eastAsia="Calibri" w:hAnsi="Calibri"/>
          <w:color w:val="1F2933"/>
          <w:sz w:val="22"/>
          <w:szCs w:val="22"/>
        </w:rPr>
        <w:t xml:space="preserve">A/B testing is used only where legally permissible — e.g., onboarding copy variants — never on whether a required disclosure is shown.</w:t>
      </w:r>
    </w:p>
    <w:p>
      <w:pPr>
        <w:pStyle w:val="Heading2"/>
        <w:spacing w:after="140" w:before="300"/>
      </w:pPr>
      <w:r>
        <w:t xml:space="preserve">Rollback Strategy</w:t>
      </w:r>
    </w:p>
    <w:p>
      <w:pPr>
        <w:spacing w:after="160" w:line="300"/>
      </w:pPr>
      <w:r>
        <w:rPr>
          <w:rFonts w:ascii="Calibri" w:cs="Calibri" w:eastAsia="Calibri" w:hAnsi="Calibri"/>
          <w:color w:val="1F2933"/>
          <w:sz w:val="22"/>
          <w:szCs w:val="22"/>
        </w:rPr>
        <w:t xml:space="preserve">Each phase gate above doubles as a rollback trigger: breaching it pauses further rollout and reverts the responsible flag, while consent data already collected remains valid and is not discarded.</w:t>
      </w:r>
    </w:p>
    <w:p>
      <w:r>
        <w:br w:type="page"/>
      </w:r>
    </w:p>
    <w:p>
      <w:pPr>
        <w:pStyle w:val="Heading1"/>
        <w:pBdr>
          <w:bottom w:val="single" w:color="E23744" w:sz="10" w:space="6"/>
        </w:pBdr>
        <w:spacing w:after="200" w:before="420"/>
      </w:pPr>
      <w:r>
        <w:t xml:space="preserve">16. Risks &amp; Trade-offs</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3050"/>
        <w:gridCol w:w="1550"/>
        <w:gridCol w:w="4750"/>
      </w:tblGrid>
      <w:tr>
        <w:trPr>
          <w:tblHeader/>
        </w:trPr>
        <w:tc>
          <w:tcPr>
            <w:tcW w:type="dxa" w:w="30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Risk</w:t>
            </w:r>
          </w:p>
        </w:tc>
        <w:tc>
          <w:tcPr>
            <w:tcW w:type="dxa" w:w="15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Category</w:t>
            </w:r>
          </w:p>
        </w:tc>
        <w:tc>
          <w:tcPr>
            <w:tcW w:type="dxa" w:w="47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Mitigation</w:t>
            </w:r>
          </w:p>
        </w:tc>
      </w:tr>
      <w:tr>
        <w:tc>
          <w:tcPr>
            <w:tcW w:type="dxa" w:w="3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Granular consent increases signup friction, hurting conversion.</w:t>
            </w:r>
          </w:p>
        </w:tc>
        <w:tc>
          <w:tcPr>
            <w:tcW w:type="dxa" w:w="1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Business / UX</w:t>
            </w:r>
          </w:p>
        </w:tc>
        <w:tc>
          <w:tcPr>
            <w:tcW w:type="dxa" w:w="4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Progressive disclosure (Onboarding cards) and smart defaults for required-only purposes keep the first-run flow to 3 taps.</w:t>
            </w:r>
          </w:p>
        </w:tc>
      </w:tr>
      <w:tr>
        <w:tc>
          <w:tcPr>
            <w:tcW w:type="dxa" w:w="3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Field-level partner sharing requires restaurant/delivery partner API changes.</w:t>
            </w:r>
          </w:p>
        </w:tc>
        <w:tc>
          <w:tcPr>
            <w:tcW w:type="dxa" w:w="1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Engineering</w:t>
            </w:r>
          </w:p>
        </w:tc>
        <w:tc>
          <w:tcPr>
            <w:tcW w:type="dxa" w:w="4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Ship field-level filtering server-side first; partners see no API contract change, only a filtered payload.</w:t>
            </w:r>
          </w:p>
        </w:tc>
      </w:tr>
      <w:tr>
        <w:tc>
          <w:tcPr>
            <w:tcW w:type="dxa" w:w="3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Self-serve deletion could be abused for fraud (e.g., deleting mid-dispute).</w:t>
            </w:r>
          </w:p>
        </w:tc>
        <w:tc>
          <w:tcPr>
            <w:tcW w:type="dxa" w:w="1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 &amp; Safety</w:t>
            </w:r>
          </w:p>
        </w:tc>
        <w:tc>
          <w:tcPr>
            <w:tcW w:type="dxa" w:w="4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Erasure jobs queue behind any open order, refund, or dispute; a hold state is surfaced to the user with an explanation.</w:t>
            </w:r>
          </w:p>
        </w:tc>
      </w:tr>
      <w:tr>
        <w:tc>
          <w:tcPr>
            <w:tcW w:type="dxa" w:w="3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Migrating existing users to purpose-wise consent may look like the app is “asking again for no reason.”</w:t>
            </w:r>
          </w:p>
        </w:tc>
        <w:tc>
          <w:tcPr>
            <w:tcW w:type="dxa" w:w="1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UX / Trust</w:t>
            </w:r>
          </w:p>
        </w:tc>
        <w:tc>
          <w:tcPr>
            <w:tcW w:type="dxa" w:w="4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Migration banner explicitly frames it as “you now get finer control,” not a re-ask, with a single confirm covering unchanged purposes.</w:t>
            </w:r>
          </w:p>
        </w:tc>
      </w:tr>
      <w:tr>
        <w:tc>
          <w:tcPr>
            <w:tcW w:type="dxa" w:w="3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Unified Consent Service becomes a single point of failure across Zomato, Blinkit and District.</w:t>
            </w:r>
          </w:p>
        </w:tc>
        <w:tc>
          <w:tcPr>
            <w:tcW w:type="dxa" w:w="1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Engineering / Performance</w:t>
            </w:r>
          </w:p>
        </w:tc>
        <w:tc>
          <w:tcPr>
            <w:tcW w:type="dxa" w:w="4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Regional read replicas and a cached “last known good” consent state so order flow degrades gracefully if the service is briefly unavailable.</w:t>
            </w:r>
          </w:p>
        </w:tc>
      </w:tr>
      <w:tr>
        <w:tc>
          <w:tcPr>
            <w:tcW w:type="dxa" w:w="30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AI Privacy Assistant could hallucinate a data-sharing claim.</w:t>
            </w:r>
          </w:p>
        </w:tc>
        <w:tc>
          <w:tcPr>
            <w:tcW w:type="dxa" w:w="15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Legal / Trust</w:t>
            </w:r>
          </w:p>
        </w:tc>
        <w:tc>
          <w:tcPr>
            <w:tcW w:type="dxa" w:w="4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Answers are restricted to a template set grounded in queried account state — no open-ended generation about data practices.</w:t>
            </w:r>
          </w:p>
        </w:tc>
      </w:tr>
      <w:tr>
        <w:tc>
          <w:tcPr>
            <w:tcW w:type="dxa" w:w="30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Verifiable parental consent (roadmap) adds friction to shared/family devices.</w:t>
            </w:r>
          </w:p>
        </w:tc>
        <w:tc>
          <w:tcPr>
            <w:tcW w:type="dxa" w:w="15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UX / Legal</w:t>
            </w:r>
          </w:p>
        </w:tc>
        <w:tc>
          <w:tcPr>
            <w:tcW w:type="dxa" w:w="4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Age-gate only triggers on signals suggesting a minor user, not for every shared device.</w:t>
            </w:r>
          </w:p>
        </w:tc>
      </w:tr>
    </w:tbl>
    <w:p>
      <w:r>
        <w:br w:type="page"/>
      </w:r>
    </w:p>
    <w:p>
      <w:pPr>
        <w:pStyle w:val="Heading1"/>
        <w:pBdr>
          <w:bottom w:val="single" w:color="E23744" w:sz="10" w:space="6"/>
        </w:pBdr>
        <w:spacing w:after="200" w:before="420"/>
      </w:pPr>
      <w:r>
        <w:t xml:space="preserve">17. 24-Month Roadmap</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1650"/>
        <w:gridCol w:w="2300"/>
        <w:gridCol w:w="5400"/>
      </w:tblGrid>
      <w:tr>
        <w:trPr>
          <w:tblHeader/>
        </w:trPr>
        <w:tc>
          <w:tcPr>
            <w:tcW w:type="dxa" w:w="16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Horizon</w:t>
            </w:r>
          </w:p>
        </w:tc>
        <w:tc>
          <w:tcPr>
            <w:tcW w:type="dxa" w:w="23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Theme</w:t>
            </w:r>
          </w:p>
        </w:tc>
        <w:tc>
          <w:tcPr>
            <w:tcW w:type="dxa" w:w="54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Highlights</w:t>
            </w:r>
          </w:p>
        </w:tc>
      </w:tr>
      <w:tr>
        <w:tc>
          <w:tcPr>
            <w:tcW w:type="dxa" w:w="1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Q1 (0–3 mo)</w:t>
            </w:r>
          </w:p>
        </w:tc>
        <w:tc>
          <w:tcPr>
            <w:tcW w:type="dxa" w:w="23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Foundation</w:t>
            </w:r>
          </w:p>
        </w:tc>
        <w:tc>
          <w:tcPr>
            <w:tcW w:type="dxa" w:w="5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Purpose-wise consent, Privacy Onboarding, Manage Consent, self-serve Download/Delete, Grievance Redressal.</w:t>
            </w:r>
          </w:p>
        </w:tc>
      </w:tr>
      <w:tr>
        <w:tc>
          <w:tcPr>
            <w:tcW w:type="dxa" w:w="1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Q2 (3–6 mo)</w:t>
            </w:r>
          </w:p>
        </w:tc>
        <w:tc>
          <w:tcPr>
            <w:tcW w:type="dxa" w:w="23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Transparency</w:t>
            </w:r>
          </w:p>
        </w:tc>
        <w:tc>
          <w:tcPr>
            <w:tcW w:type="dxa" w:w="5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Live Data Flow Map, Privacy Nutrition Label, Sharing Ledger, Consent Timeline &amp; Receipts.</w:t>
            </w:r>
          </w:p>
        </w:tc>
      </w:tr>
      <w:tr>
        <w:tc>
          <w:tcPr>
            <w:tcW w:type="dxa" w:w="1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Q3 (6–9 mo)</w:t>
            </w:r>
          </w:p>
        </w:tc>
        <w:tc>
          <w:tcPr>
            <w:tcW w:type="dxa" w:w="23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Intelligence</w:t>
            </w:r>
          </w:p>
        </w:tc>
        <w:tc>
          <w:tcPr>
            <w:tcW w:type="dxa" w:w="5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Dashboard with sub-scores, AI Privacy Assistant v1, Privacy Notifications.</w:t>
            </w:r>
          </w:p>
        </w:tc>
      </w:tr>
      <w:tr>
        <w:tc>
          <w:tcPr>
            <w:tcW w:type="dxa" w:w="1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Q4 (9–12 mo)</w:t>
            </w:r>
          </w:p>
        </w:tc>
        <w:tc>
          <w:tcPr>
            <w:tcW w:type="dxa" w:w="23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Group unification</w:t>
            </w:r>
          </w:p>
        </w:tc>
        <w:tc>
          <w:tcPr>
            <w:tcW w:type="dxa" w:w="5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Unified consent record shared (with permission) across Zomato, Blinkit and District.</w:t>
            </w:r>
          </w:p>
        </w:tc>
      </w:tr>
      <w:tr>
        <w:tc>
          <w:tcPr>
            <w:tcW w:type="dxa" w:w="16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Q5–Q6 (12–18 mo)</w:t>
            </w:r>
          </w:p>
        </w:tc>
        <w:tc>
          <w:tcPr>
            <w:tcW w:type="dxa" w:w="23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Protection for minors</w:t>
            </w:r>
          </w:p>
        </w:tc>
        <w:tc>
          <w:tcPr>
            <w:tcW w:type="dxa" w:w="54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Verifiable parental consent flow for shared/family accounts.</w:t>
            </w:r>
          </w:p>
        </w:tc>
      </w:tr>
      <w:tr>
        <w:tc>
          <w:tcPr>
            <w:tcW w:type="dxa" w:w="16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Q7–Q8 (18–24 mo)</w:t>
            </w:r>
          </w:p>
        </w:tc>
        <w:tc>
          <w:tcPr>
            <w:tcW w:type="dxa" w:w="23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Privacy-preserving AI</w:t>
            </w:r>
          </w:p>
        </w:tc>
        <w:tc>
          <w:tcPr>
            <w:tcW w:type="dxa" w:w="54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On-device recommendation scoring so raw order history never has to leave the device; AI Privacy Copilot v2 with full order-level Q&amp;A; transparency reports and a public developer-facing privacy API.</w:t>
            </w:r>
          </w:p>
        </w:tc>
      </w:tr>
    </w:tbl>
    <w:p>
      <w:r>
        <w:br w:type="page"/>
      </w:r>
    </w:p>
    <w:p>
      <w:pPr>
        <w:pStyle w:val="Heading1"/>
        <w:pBdr>
          <w:bottom w:val="single" w:color="E23744" w:sz="10" w:space="6"/>
        </w:pBdr>
        <w:spacing w:after="200" w:before="420"/>
      </w:pPr>
      <w:r>
        <w:t xml:space="preserve">18. Why This Solution Wins</w:t>
      </w:r>
    </w:p>
    <w:p>
      <w:pPr>
        <w:pStyle w:val="ListParagraph"/>
        <w:numPr>
          <w:ilvl w:val="0"/>
          <w:numId w:val="1"/>
        </w:numPr>
        <w:spacing w:after="90" w:line="290"/>
      </w:pPr>
      <w:r>
        <w:rPr>
          <w:rFonts w:ascii="Calibri" w:cs="Calibri" w:eastAsia="Calibri" w:hAnsi="Calibri"/>
          <w:b/>
          <w:bCs/>
          <w:color w:val="1F2933"/>
          <w:sz w:val="22"/>
          <w:szCs w:val="22"/>
        </w:rPr>
        <w:t xml:space="preserve">Why users trust it — </w:t>
      </w:r>
      <w:r>
        <w:rPr>
          <w:rFonts w:ascii="Calibri" w:cs="Calibri" w:eastAsia="Calibri" w:hAnsi="Calibri"/>
          <w:color w:val="1F2933"/>
          <w:sz w:val="22"/>
          <w:szCs w:val="22"/>
        </w:rPr>
        <w:t xml:space="preserve">Every claim (who has my data, why) is checkable in-app in real time, not asserted in a policy document nobody reads.</w:t>
      </w:r>
    </w:p>
    <w:p>
      <w:pPr>
        <w:pStyle w:val="ListParagraph"/>
        <w:numPr>
          <w:ilvl w:val="0"/>
          <w:numId w:val="1"/>
        </w:numPr>
        <w:spacing w:after="90" w:line="290"/>
      </w:pPr>
      <w:r>
        <w:rPr>
          <w:rFonts w:ascii="Calibri" w:cs="Calibri" w:eastAsia="Calibri" w:hAnsi="Calibri"/>
          <w:b/>
          <w:bCs/>
          <w:color w:val="1F2933"/>
          <w:sz w:val="22"/>
          <w:szCs w:val="22"/>
        </w:rPr>
        <w:t xml:space="preserve">Why Zomato benefits — </w:t>
      </w:r>
      <w:r>
        <w:rPr>
          <w:rFonts w:ascii="Calibri" w:cs="Calibri" w:eastAsia="Calibri" w:hAnsi="Calibri"/>
          <w:color w:val="1F2933"/>
          <w:sz w:val="22"/>
          <w:szCs w:val="22"/>
        </w:rPr>
        <w:t xml:space="preserve">Higher informed opt-in rates improve personalization and marketing reach precisely because the trade-off is transparent, not hidden.</w:t>
      </w:r>
    </w:p>
    <w:p>
      <w:pPr>
        <w:pStyle w:val="ListParagraph"/>
        <w:numPr>
          <w:ilvl w:val="0"/>
          <w:numId w:val="1"/>
        </w:numPr>
        <w:spacing w:after="90" w:line="290"/>
      </w:pPr>
      <w:r>
        <w:rPr>
          <w:rFonts w:ascii="Calibri" w:cs="Calibri" w:eastAsia="Calibri" w:hAnsi="Calibri"/>
          <w:b/>
          <w:bCs/>
          <w:color w:val="1F2933"/>
          <w:sz w:val="22"/>
          <w:szCs w:val="22"/>
        </w:rPr>
        <w:t xml:space="preserve">Why engineers can build it — </w:t>
      </w:r>
      <w:r>
        <w:rPr>
          <w:rFonts w:ascii="Calibri" w:cs="Calibri" w:eastAsia="Calibri" w:hAnsi="Calibri"/>
          <w:color w:val="1F2933"/>
          <w:sz w:val="22"/>
          <w:szCs w:val="22"/>
        </w:rPr>
        <w:t xml:space="preserve">The architecture reuses one Consent Service and one Audit event stream across every surface — no feature here requires a bespoke data model.</w:t>
      </w:r>
    </w:p>
    <w:p>
      <w:pPr>
        <w:pStyle w:val="ListParagraph"/>
        <w:numPr>
          <w:ilvl w:val="0"/>
          <w:numId w:val="1"/>
        </w:numPr>
        <w:spacing w:after="90" w:line="290"/>
      </w:pPr>
      <w:r>
        <w:rPr>
          <w:rFonts w:ascii="Calibri" w:cs="Calibri" w:eastAsia="Calibri" w:hAnsi="Calibri"/>
          <w:b/>
          <w:bCs/>
          <w:color w:val="1F2933"/>
          <w:sz w:val="22"/>
          <w:szCs w:val="22"/>
        </w:rPr>
        <w:t xml:space="preserve">Why legal approves it — </w:t>
      </w:r>
      <w:r>
        <w:rPr>
          <w:rFonts w:ascii="Calibri" w:cs="Calibri" w:eastAsia="Calibri" w:hAnsi="Calibri"/>
          <w:color w:val="1F2933"/>
          <w:sz w:val="22"/>
          <w:szCs w:val="22"/>
        </w:rPr>
        <w:t xml:space="preserve">Each screen maps to a specific, named DPDP obligation (Section 12), closing today's gaps rather than adding UI for its own sake.</w:t>
      </w:r>
    </w:p>
    <w:p>
      <w:pPr>
        <w:pStyle w:val="ListParagraph"/>
        <w:numPr>
          <w:ilvl w:val="0"/>
          <w:numId w:val="1"/>
        </w:numPr>
        <w:spacing w:after="90" w:line="290"/>
      </w:pPr>
      <w:r>
        <w:rPr>
          <w:rFonts w:ascii="Calibri" w:cs="Calibri" w:eastAsia="Calibri" w:hAnsi="Calibri"/>
          <w:b/>
          <w:bCs/>
          <w:color w:val="1F2933"/>
          <w:sz w:val="22"/>
          <w:szCs w:val="22"/>
        </w:rPr>
        <w:t xml:space="preserve">Why executives approve it — </w:t>
      </w:r>
      <w:r>
        <w:rPr>
          <w:rFonts w:ascii="Calibri" w:cs="Calibri" w:eastAsia="Calibri" w:hAnsi="Calibri"/>
          <w:color w:val="1F2933"/>
          <w:sz w:val="22"/>
          <w:szCs w:val="22"/>
        </w:rPr>
        <w:t xml:space="preserve">Support-cost reduction (self-serve rights requests) and growth upside (higher marketing/personalization opt-in) pay for the engineering investment within measurable quarters.</w:t>
      </w:r>
    </w:p>
    <w:p>
      <w:pPr>
        <w:pStyle w:val="ListParagraph"/>
        <w:numPr>
          <w:ilvl w:val="0"/>
          <w:numId w:val="1"/>
        </w:numPr>
        <w:spacing w:after="90" w:line="290"/>
      </w:pPr>
      <w:r>
        <w:rPr>
          <w:rFonts w:ascii="Calibri" w:cs="Calibri" w:eastAsia="Calibri" w:hAnsi="Calibri"/>
          <w:b/>
          <w:bCs/>
          <w:color w:val="1F2933"/>
          <w:sz w:val="22"/>
          <w:szCs w:val="22"/>
        </w:rPr>
        <w:t xml:space="preserve">Why it differentiates Zomato — </w:t>
      </w:r>
      <w:r>
        <w:rPr>
          <w:rFonts w:ascii="Calibri" w:cs="Calibri" w:eastAsia="Calibri" w:hAnsi="Calibri"/>
          <w:color w:val="1F2933"/>
          <w:sz w:val="22"/>
          <w:szCs w:val="22"/>
        </w:rPr>
        <w:t xml:space="preserve">No major Indian consumer app currently exposes a live, tappable data-flow map or a per-order nutrition label — this is a visible, ownable point of difference, not just a compliance checkbox.</w:t>
      </w:r>
    </w:p>
    <w:p>
      <w:r>
        <w:br w:type="page"/>
      </w:r>
    </w:p>
    <w:p>
      <w:pPr>
        <w:pStyle w:val="Heading1"/>
        <w:pBdr>
          <w:bottom w:val="single" w:color="E23744" w:sz="10" w:space="6"/>
        </w:pBdr>
        <w:spacing w:after="200" w:before="420"/>
      </w:pPr>
      <w:r>
        <w:t xml:space="preserve">19. Appendix — Prototype Screen Reference</w:t>
      </w:r>
    </w:p>
    <w:p>
      <w:pPr>
        <w:spacing w:after="160" w:line="300"/>
      </w:pPr>
      <w:r>
        <w:rPr>
          <w:rFonts w:ascii="Calibri" w:cs="Calibri" w:eastAsia="Calibri" w:hAnsi="Calibri"/>
          <w:color w:val="1F2933"/>
          <w:sz w:val="22"/>
          <w:szCs w:val="22"/>
        </w:rPr>
        <w:t xml:space="preserve">Screen numbers below match the companion HTML prototype (Zomato_Privacy_Hub_Prototype_v2) and slide deck exactly, so all three artifacts can be cross-referenced during review.</w:t>
      </w:r>
    </w:p>
    <w:tbl>
      <w:tblPr>
        <w:tblW w:type="dxa" w:w="9350"/>
        <w:tblBorders>
          <w:top w:val="single" w:color="D8DEE4" w:sz="4"/>
          <w:left w:val="single" w:color="D8DEE4" w:sz="4"/>
          <w:bottom w:val="single" w:color="D8DEE4" w:sz="4"/>
          <w:right w:val="single" w:color="D8DEE4" w:sz="4"/>
          <w:insideH w:val="single" w:color="D8DEE4" w:sz="4"/>
          <w:insideV w:val="single" w:color="D8DEE4" w:sz="4"/>
        </w:tblBorders>
      </w:tblPr>
      <w:tblGrid>
        <w:gridCol w:w="900"/>
        <w:gridCol w:w="4700"/>
        <w:gridCol w:w="3750"/>
      </w:tblGrid>
      <w:tr>
        <w:trPr>
          <w:tblHeader/>
        </w:trPr>
        <w:tc>
          <w:tcPr>
            <w:tcW w:type="dxa" w:w="9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w:t>
            </w:r>
          </w:p>
        </w:tc>
        <w:tc>
          <w:tcPr>
            <w:tcW w:type="dxa" w:w="470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Screen</w:t>
            </w:r>
          </w:p>
        </w:tc>
        <w:tc>
          <w:tcPr>
            <w:tcW w:type="dxa" w:w="3750"/>
            <w:shd w:fill="1F2933" w:color="auto" w:val="clear"/>
            <w:tcMar>
              <w:top w:type="dxa" w:w="110"/>
              <w:left w:type="dxa" w:w="120"/>
              <w:bottom w:type="dxa" w:w="110"/>
              <w:right w:type="dxa" w:w="120"/>
            </w:tcMar>
            <w:vAlign w:val="center"/>
          </w:tcPr>
          <w:p>
            <w:r>
              <w:rPr>
                <w:rFonts w:ascii="Calibri" w:cs="Calibri" w:eastAsia="Calibri" w:hAnsi="Calibri"/>
                <w:b/>
                <w:bCs/>
                <w:color w:val="FFFFFF"/>
                <w:sz w:val="19"/>
                <w:szCs w:val="19"/>
              </w:rPr>
              <w:t xml:space="preserve">Cluster</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Welcome</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Onboarding &amp; Consent</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2</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Onboarding</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Onboarding &amp; Consent</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3</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Purpose-wise Consent</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Onboarding &amp; Consent</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4</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Home Feed</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5</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Account</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6</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Hub</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Hub</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7</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Dashboard</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Understand</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8</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Live Data Flow Map</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Understand</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9</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Privacy Nutrition Label</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Understand</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10</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 Consent</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11</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Location Controls</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12</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Marketing Controls</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13</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Restaurant Sharing</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14</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Delivery Partner Sharing</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15</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Third-Party Sharing Ledger</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Manage</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16</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Download My Data</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Your Data &amp; Account</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17</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Delete My Data</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Your Data &amp; Account</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18</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Consent Timeline &amp; Receipts</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Your Data &amp; Account</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19</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Security &amp; Activity Log</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 &amp; Support</w:t>
            </w:r>
          </w:p>
        </w:tc>
      </w:tr>
      <w:tr>
        <w:tc>
          <w:tcPr>
            <w:tcW w:type="dxa" w:w="9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20</w:t>
            </w:r>
          </w:p>
        </w:tc>
        <w:tc>
          <w:tcPr>
            <w:tcW w:type="dxa" w:w="470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Grievance Redressal</w:t>
            </w:r>
          </w:p>
        </w:tc>
        <w:tc>
          <w:tcPr>
            <w:tcW w:type="dxa" w:w="3750"/>
            <w:shd w:fill="F7F5F2"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 &amp; Support</w:t>
            </w:r>
          </w:p>
        </w:tc>
      </w:tr>
      <w:tr>
        <w:tc>
          <w:tcPr>
            <w:tcW w:type="dxa" w:w="9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21</w:t>
            </w:r>
          </w:p>
        </w:tc>
        <w:tc>
          <w:tcPr>
            <w:tcW w:type="dxa" w:w="470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What's Next (Roadmap)</w:t>
            </w:r>
          </w:p>
        </w:tc>
        <w:tc>
          <w:tcPr>
            <w:tcW w:type="dxa" w:w="3750"/>
            <w:shd w:fill="FFFFFF" w:color="auto" w:val="clear"/>
            <w:tcMar>
              <w:top w:type="dxa" w:w="100"/>
              <w:left w:type="dxa" w:w="120"/>
              <w:bottom w:type="dxa" w:w="100"/>
              <w:right w:type="dxa" w:w="120"/>
            </w:tcMar>
            <w:vAlign w:val="center"/>
          </w:tcPr>
          <w:p>
            <w:pPr>
              <w:spacing w:line="260"/>
            </w:pPr>
            <w:r>
              <w:rPr>
                <w:rFonts w:ascii="Calibri" w:cs="Calibri" w:eastAsia="Calibri" w:hAnsi="Calibri"/>
                <w:color w:val="1F2933"/>
                <w:sz w:val="19"/>
                <w:szCs w:val="19"/>
              </w:rPr>
              <w:t xml:space="preserve">Trust &amp; Support</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3"/>
        <w:sz w:val="15"/>
        <w:szCs w:val="15"/>
      </w:rPr>
      <w:t xml:space="preserve">Page </w:t>
    </w:r>
    <w:r>
      <w:rPr>
        <w:rFonts w:ascii="Calibri" w:cs="Calibri" w:eastAsia="Calibri" w:hAnsi="Calibri"/>
        <w:color w:val="5B6773"/>
        <w:sz w:val="15"/>
        <w:szCs w:val="15"/>
      </w:rPr>
      <w:fldChar w:fldCharType="begin"/>
      <w:instrText xml:space="preserve">PAGE</w:instrText>
      <w:fldChar w:fldCharType="separate"/>
      <w:fldChar w:fldCharType="end"/>
    </w:r>
    <w:r>
      <w:rPr>
        <w:rFonts w:ascii="Calibri" w:cs="Calibri" w:eastAsia="Calibri" w:hAnsi="Calibri"/>
        <w:color w:val="5B6773"/>
        <w:sz w:val="15"/>
        <w:szCs w:val="15"/>
      </w:rPr>
      <w:t xml:space="preserve"> of </w:t>
    </w:r>
    <w:r>
      <w:rPr>
        <w:rFonts w:ascii="Calibri" w:cs="Calibri" w:eastAsia="Calibri" w:hAnsi="Calibri"/>
        <w:color w:val="5B677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jc w:val="right"/>
    </w:pPr>
    <w:r>
      <w:rPr>
        <w:rFonts w:ascii="Calibri" w:cs="Calibri" w:eastAsia="Calibri" w:hAnsi="Calibri"/>
        <w:color w:val="5B6773"/>
        <w:sz w:val="15"/>
        <w:szCs w:val="15"/>
      </w:rPr>
      <w:t xml:space="preserve">Zomato Privacy Hub — PRD  ·  Prathiba 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Zomato Privacy Hub — PRD</dc:title>
  <dc:creator>Prathiba P</dc:creator>
  <cp:lastModifiedBy>Un-named</cp:lastModifiedBy>
  <cp:revision>1</cp:revision>
  <dcterms:created xsi:type="dcterms:W3CDTF">2026-07-05T04:12:37.316Z</dcterms:created>
  <dcterms:modified xsi:type="dcterms:W3CDTF">2026-07-05T04:12:37.328Z</dcterms:modified>
</cp:coreProperties>
</file>

<file path=docProps/custom.xml><?xml version="1.0" encoding="utf-8"?>
<Properties xmlns="http://schemas.openxmlformats.org/officeDocument/2006/custom-properties" xmlns:vt="http://schemas.openxmlformats.org/officeDocument/2006/docPropsVTypes"/>
</file>