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r>
        <w:rPr>
          <w:b/>
          <w:bCs/>
          <w:color w:val="78350F"/>
          <w:spacing w:val="30"/>
          <w:sz w:val="20"/>
          <w:szCs w:val="20"/>
        </w:rPr>
        <w:t xml:space="preserve">PRODUCT REQUIREMENTS DOCUMENT</w:t>
      </w:r>
    </w:p>
    <w:p>
      <w:pPr>
        <w:pStyle w:val="Title"/>
        <w:spacing w:after="80" w:before="200"/>
      </w:pPr>
      <w:r>
        <w:t xml:space="preserve">UAI — Unified Athlete Interface</w:t>
      </w:r>
    </w:p>
    <w:p>
      <w:pPr>
        <w:spacing w:after="360"/>
      </w:pPr>
      <w:r>
        <w:rPr>
          <w:i/>
          <w:iCs/>
          <w:color w:val="475569"/>
          <w:sz w:val="28"/>
          <w:szCs w:val="28"/>
        </w:rPr>
        <w:t xml:space="preserve">India's Verified Athlete Operating System</w:t>
      </w:r>
    </w:p>
    <w:p>
      <w:pPr>
        <w:pBdr>
          <w:left w:val="single" w:color="B45309" w:sz="18" w:space="8"/>
        </w:pBdr>
        <w:shd w:fill="FDF3E2" w:val="clear"/>
        <w:spacing w:after="200" w:before="120" w:line="300"/>
        <w:ind w:left="360"/>
      </w:pPr>
      <w:r>
        <w:rPr>
          <w:i/>
          <w:iCs/>
          <w:color w:val="78350F"/>
        </w:rPr>
        <w:t xml:space="preserve">Verified Athlete Identity → Professional Athlete Portfolio → Career Growth Platform → Sponsorship Marketplace → Professional Sports Network → Athlete Operating System</w:t>
      </w:r>
    </w:p>
    <w:p>
      <w:pPr>
        <w:spacing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DCE5" w:sz="2"/>
              <w:left w:val="single" w:color="D6DCE5" w:sz="2"/>
              <w:bottom w:val="single" w:color="D6DCE5" w:sz="2"/>
              <w:right w:val="single" w:color="D6DCE5" w:sz="2"/>
            </w:tcBorders>
            <w:shd w:fill="F1F5F9" w:val="clear"/>
            <w:tcMar>
              <w:top w:type="dxa" w:w="100"/>
              <w:left w:type="dxa" w:w="140"/>
              <w:bottom w:type="dxa" w:w="100"/>
              <w:right w:type="dxa" w:w="140"/>
            </w:tcMar>
          </w:tcPr>
          <w:p>
            <w:r>
              <w:rPr>
                <w:b/>
                <w:bCs/>
                <w:sz w:val="20"/>
                <w:szCs w:val="20"/>
              </w:rPr>
              <w:t xml:space="preserve">Prepared for</w:t>
            </w:r>
          </w:p>
        </w:tc>
        <w:tc>
          <w:tcPr>
            <w:tcW w:type="dxa" w:w="6960"/>
            <w:tcBorders>
              <w:top w:val="single" w:color="D6DCE5" w:sz="2"/>
              <w:left w:val="single" w:color="D6DCE5" w:sz="2"/>
              <w:bottom w:val="single" w:color="D6DCE5" w:sz="2"/>
              <w:right w:val="single" w:color="D6DCE5" w:sz="2"/>
            </w:tcBorders>
            <w:tcMar>
              <w:top w:type="dxa" w:w="100"/>
              <w:left w:type="dxa" w:w="140"/>
              <w:bottom w:type="dxa" w:w="100"/>
              <w:right w:type="dxa" w:w="140"/>
            </w:tcMar>
          </w:tcPr>
          <w:p>
            <w:r>
              <w:rPr>
                <w:sz w:val="20"/>
                <w:szCs w:val="20"/>
              </w:rPr>
              <w:t xml:space="preserve">Acrophase (IIT Madras) — PM Intern Assignment</w:t>
            </w:r>
          </w:p>
        </w:tc>
      </w:tr>
      <w:tr>
        <w:tc>
          <w:tcPr>
            <w:tcW w:type="dxa" w:w="2400"/>
            <w:tcBorders>
              <w:top w:val="single" w:color="D6DCE5" w:sz="2"/>
              <w:left w:val="single" w:color="D6DCE5" w:sz="2"/>
              <w:bottom w:val="single" w:color="D6DCE5" w:sz="2"/>
              <w:right w:val="single" w:color="D6DCE5" w:sz="2"/>
            </w:tcBorders>
            <w:shd w:fill="F1F5F9" w:val="clear"/>
            <w:tcMar>
              <w:top w:type="dxa" w:w="100"/>
              <w:left w:type="dxa" w:w="140"/>
              <w:bottom w:type="dxa" w:w="100"/>
              <w:right w:type="dxa" w:w="140"/>
            </w:tcMar>
          </w:tcPr>
          <w:p>
            <w:r>
              <w:rPr>
                <w:b/>
                <w:bCs/>
                <w:sz w:val="20"/>
                <w:szCs w:val="20"/>
              </w:rPr>
              <w:t xml:space="preserve">Document version</w:t>
            </w:r>
          </w:p>
        </w:tc>
        <w:tc>
          <w:tcPr>
            <w:tcW w:type="dxa" w:w="6960"/>
            <w:tcBorders>
              <w:top w:val="single" w:color="D6DCE5" w:sz="2"/>
              <w:left w:val="single" w:color="D6DCE5" w:sz="2"/>
              <w:bottom w:val="single" w:color="D6DCE5" w:sz="2"/>
              <w:right w:val="single" w:color="D6DCE5" w:sz="2"/>
            </w:tcBorders>
            <w:tcMar>
              <w:top w:type="dxa" w:w="100"/>
              <w:left w:type="dxa" w:w="140"/>
              <w:bottom w:type="dxa" w:w="100"/>
              <w:right w:type="dxa" w:w="140"/>
            </w:tcMar>
          </w:tcPr>
          <w:p>
            <w:r>
              <w:rPr>
                <w:sz w:val="20"/>
                <w:szCs w:val="20"/>
              </w:rPr>
              <w:t xml:space="preserve">v5.0 — UAI X</w:t>
            </w:r>
          </w:p>
        </w:tc>
      </w:tr>
      <w:tr>
        <w:tc>
          <w:tcPr>
            <w:tcW w:type="dxa" w:w="2400"/>
            <w:tcBorders>
              <w:top w:val="single" w:color="D6DCE5" w:sz="2"/>
              <w:left w:val="single" w:color="D6DCE5" w:sz="2"/>
              <w:bottom w:val="single" w:color="D6DCE5" w:sz="2"/>
              <w:right w:val="single" w:color="D6DCE5" w:sz="2"/>
            </w:tcBorders>
            <w:shd w:fill="F1F5F9" w:val="clear"/>
            <w:tcMar>
              <w:top w:type="dxa" w:w="100"/>
              <w:left w:type="dxa" w:w="140"/>
              <w:bottom w:type="dxa" w:w="100"/>
              <w:right w:type="dxa" w:w="140"/>
            </w:tcMar>
          </w:tcPr>
          <w:p>
            <w:r>
              <w:rPr>
                <w:b/>
                <w:bCs/>
                <w:sz w:val="20"/>
                <w:szCs w:val="20"/>
              </w:rPr>
              <w:t xml:space="preserve">Status</w:t>
            </w:r>
          </w:p>
        </w:tc>
        <w:tc>
          <w:tcPr>
            <w:tcW w:type="dxa" w:w="6960"/>
            <w:tcBorders>
              <w:top w:val="single" w:color="D6DCE5" w:sz="2"/>
              <w:left w:val="single" w:color="D6DCE5" w:sz="2"/>
              <w:bottom w:val="single" w:color="D6DCE5" w:sz="2"/>
              <w:right w:val="single" w:color="D6DCE5" w:sz="2"/>
            </w:tcBorders>
            <w:tcMar>
              <w:top w:type="dxa" w:w="100"/>
              <w:left w:type="dxa" w:w="140"/>
              <w:bottom w:type="dxa" w:w="100"/>
              <w:right w:type="dxa" w:w="140"/>
            </w:tcMar>
          </w:tcPr>
          <w:p>
            <w:r>
              <w:rPr>
                <w:sz w:val="20"/>
                <w:szCs w:val="20"/>
              </w:rPr>
              <w:t xml:space="preserve">Prototype documentation — reference copy</w:t>
            </w:r>
          </w:p>
        </w:tc>
      </w:tr>
      <w:tr>
        <w:tc>
          <w:tcPr>
            <w:tcW w:type="dxa" w:w="2400"/>
            <w:tcBorders>
              <w:top w:val="single" w:color="D6DCE5" w:sz="2"/>
              <w:left w:val="single" w:color="D6DCE5" w:sz="2"/>
              <w:bottom w:val="single" w:color="D6DCE5" w:sz="2"/>
              <w:right w:val="single" w:color="D6DCE5" w:sz="2"/>
            </w:tcBorders>
            <w:shd w:fill="F1F5F9" w:val="clear"/>
            <w:tcMar>
              <w:top w:type="dxa" w:w="100"/>
              <w:left w:type="dxa" w:w="140"/>
              <w:bottom w:type="dxa" w:w="100"/>
              <w:right w:type="dxa" w:w="140"/>
            </w:tcMar>
          </w:tcPr>
          <w:p>
            <w:r>
              <w:rPr>
                <w:b/>
                <w:bCs/>
                <w:sz w:val="20"/>
                <w:szCs w:val="20"/>
              </w:rPr>
              <w:t xml:space="preserve">Covers</w:t>
            </w:r>
          </w:p>
        </w:tc>
        <w:tc>
          <w:tcPr>
            <w:tcW w:type="dxa" w:w="6960"/>
            <w:tcBorders>
              <w:top w:val="single" w:color="D6DCE5" w:sz="2"/>
              <w:left w:val="single" w:color="D6DCE5" w:sz="2"/>
              <w:bottom w:val="single" w:color="D6DCE5" w:sz="2"/>
              <w:right w:val="single" w:color="D6DCE5" w:sz="2"/>
            </w:tcBorders>
            <w:tcMar>
              <w:top w:type="dxa" w:w="100"/>
              <w:left w:type="dxa" w:w="140"/>
              <w:bottom w:type="dxa" w:w="100"/>
              <w:right w:type="dxa" w:w="140"/>
            </w:tcMar>
          </w:tcPr>
          <w:p>
            <w:r>
              <w:rPr>
                <w:sz w:val="20"/>
                <w:szCs w:val="20"/>
              </w:rPr>
              <w:t xml:space="preserve">Athlete App · Sponsor Portal · Admin Portal · Human Performance Hub</w:t>
            </w:r>
          </w:p>
        </w:tc>
      </w:tr>
      <w:tr>
        <w:tc>
          <w:tcPr>
            <w:tcW w:type="dxa" w:w="2400"/>
            <w:tcBorders>
              <w:top w:val="single" w:color="D6DCE5" w:sz="2"/>
              <w:left w:val="single" w:color="D6DCE5" w:sz="2"/>
              <w:bottom w:val="single" w:color="D6DCE5" w:sz="2"/>
              <w:right w:val="single" w:color="D6DCE5" w:sz="2"/>
            </w:tcBorders>
            <w:shd w:fill="F1F5F9" w:val="clear"/>
            <w:tcMar>
              <w:top w:type="dxa" w:w="100"/>
              <w:left w:type="dxa" w:w="140"/>
              <w:bottom w:type="dxa" w:w="100"/>
              <w:right w:type="dxa" w:w="140"/>
            </w:tcMar>
          </w:tcPr>
          <w:p>
            <w:r>
              <w:rPr>
                <w:b/>
                <w:bCs/>
                <w:sz w:val="20"/>
                <w:szCs w:val="20"/>
              </w:rPr>
              <w:t xml:space="preserve">This revision adds</w:t>
            </w:r>
          </w:p>
        </w:tc>
        <w:tc>
          <w:tcPr>
            <w:tcW w:type="dxa" w:w="6960"/>
            <w:tcBorders>
              <w:top w:val="single" w:color="D6DCE5" w:sz="2"/>
              <w:left w:val="single" w:color="D6DCE5" w:sz="2"/>
              <w:bottom w:val="single" w:color="D6DCE5" w:sz="2"/>
              <w:right w:val="single" w:color="D6DCE5" w:sz="2"/>
            </w:tcBorders>
            <w:tcMar>
              <w:top w:type="dxa" w:w="100"/>
              <w:left w:type="dxa" w:w="140"/>
              <w:bottom w:type="dxa" w:w="100"/>
              <w:right w:type="dxa" w:w="140"/>
            </w:tcMar>
          </w:tcPr>
          <w:p>
            <w:r>
              <w:rPr>
                <w:sz w:val="20"/>
                <w:szCs w:val="20"/>
              </w:rPr>
              <w:t xml:space="preserve">Live chat · Document signing · Notification center · Calendar sync · Public portfolio URLs · Team management · Admin audit logs</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What Was Built</w:t>
      </w:r>
    </w:p>
    <w:p>
      <w:pPr>
        <w:spacing w:after="160" w:line="300"/>
      </w:pPr>
      <w:r>
        <w:t xml:space="preserve">The submission is a single interactive HTML prototype — no build step, opens directly in a browser — covering four connected surfaces: the Athlete App, the Sponsor Portal, an Admin Portal, and a Human Performance view for coaches and sports scientists that extends beyond the original brief's minimum scope.</w:t>
      </w:r>
    </w:p>
    <w:p>
      <w:pPr>
        <w:pStyle w:val="Heading2"/>
      </w:pPr>
      <w:r>
        <w:t xml:space="preserve">1.1 Athlete App</w:t>
      </w:r>
    </w:p>
    <w:p>
      <w:pPr>
        <w:pStyle w:val="ListParagraph"/>
        <w:numPr>
          <w:ilvl w:val="0"/>
          <w:numId w:val="2"/>
        </w:numPr>
        <w:spacing w:after="90" w:line="290"/>
      </w:pPr>
      <w:r>
        <w:rPr>
          <w:b/>
          <w:bCs/>
        </w:rPr>
        <w:t xml:space="preserve">Onboarding — </w:t>
      </w:r>
      <w:r>
        <w:t xml:space="preserve">name, sport, competition level, and personal best capture, structured as a guided multi-step flow.</w:t>
      </w:r>
    </w:p>
    <w:p>
      <w:pPr>
        <w:pStyle w:val="ListParagraph"/>
        <w:numPr>
          <w:ilvl w:val="0"/>
          <w:numId w:val="2"/>
        </w:numPr>
        <w:spacing w:after="90" w:line="290"/>
      </w:pPr>
      <w:r>
        <w:rPr>
          <w:b/>
          <w:bCs/>
        </w:rPr>
        <w:t xml:space="preserve">Identity verification — </w:t>
      </w:r>
      <w:r>
        <w:t xml:space="preserve">Aadhaar number entry → OTP confirmation → live face match → bank account linking → penny-drop verification, each rendered as a distinct, animated step with its own progress state.</w:t>
      </w:r>
    </w:p>
    <w:p>
      <w:pPr>
        <w:pStyle w:val="ListParagraph"/>
        <w:numPr>
          <w:ilvl w:val="0"/>
          <w:numId w:val="2"/>
        </w:numPr>
        <w:spacing w:after="90" w:line="290"/>
      </w:pPr>
      <w:r>
        <w:rPr>
          <w:b/>
          <w:bCs/>
        </w:rPr>
        <w:t xml:space="preserve">Profile — </w:t>
      </w:r>
      <w:r>
        <w:t xml:space="preserve">career timeline, personal records, verification badges, and a sponsorship status badge (locked / partially open / fully open).</w:t>
      </w:r>
    </w:p>
    <w:p>
      <w:pPr>
        <w:pStyle w:val="ListParagraph"/>
        <w:numPr>
          <w:ilvl w:val="0"/>
          <w:numId w:val="2"/>
        </w:numPr>
        <w:spacing w:after="90" w:line="290"/>
      </w:pPr>
      <w:r>
        <w:rPr>
          <w:b/>
          <w:bCs/>
        </w:rPr>
        <w:t xml:space="preserve">Achievements — </w:t>
      </w:r>
      <w:r>
        <w:t xml:space="preserve">add and track competition results, medals, and rankings, each shown with a verification state (pending / admin-verified).</w:t>
      </w:r>
    </w:p>
    <w:p>
      <w:pPr>
        <w:pStyle w:val="ListParagraph"/>
        <w:numPr>
          <w:ilvl w:val="0"/>
          <w:numId w:val="2"/>
        </w:numPr>
        <w:spacing w:after="90" w:line="290"/>
      </w:pPr>
      <w:r>
        <w:rPr>
          <w:b/>
          <w:bCs/>
        </w:rPr>
        <w:t xml:space="preserve">Support requests — </w:t>
      </w:r>
      <w:r>
        <w:t xml:space="preserve">raise requests by category (travel, equipment, medical/recovery, competition fees); track status from submitted → admin review → sponsor review → approved → disbursed → utilization proof.</w:t>
      </w:r>
    </w:p>
    <w:p>
      <w:pPr>
        <w:pStyle w:val="ListParagraph"/>
        <w:numPr>
          <w:ilvl w:val="0"/>
          <w:numId w:val="2"/>
        </w:numPr>
        <w:spacing w:after="90" w:line="290"/>
      </w:pPr>
      <w:r>
        <w:rPr>
          <w:b/>
          <w:bCs/>
        </w:rPr>
        <w:t xml:space="preserve">Funding timeline — </w:t>
      </w:r>
      <w:r>
        <w:t xml:space="preserve">a transparent, step-by-step view of where each rupee is in the process.</w:t>
      </w:r>
    </w:p>
    <w:p>
      <w:pPr>
        <w:pStyle w:val="ListParagraph"/>
        <w:numPr>
          <w:ilvl w:val="0"/>
          <w:numId w:val="2"/>
        </w:numPr>
        <w:spacing w:after="90" w:line="290"/>
      </w:pPr>
      <w:r>
        <w:rPr>
          <w:b/>
          <w:bCs/>
        </w:rPr>
        <w:t xml:space="preserve">Network — </w:t>
      </w:r>
      <w:r>
        <w:t xml:space="preserve">athlete circle (connections), coach/mentor discovery, messaging, and a story feed for sponsor-visible updates.</w:t>
      </w:r>
    </w:p>
    <w:p>
      <w:pPr>
        <w:pStyle w:val="ListParagraph"/>
        <w:numPr>
          <w:ilvl w:val="0"/>
          <w:numId w:val="2"/>
        </w:numPr>
        <w:spacing w:after="90" w:line="290"/>
      </w:pPr>
      <w:r>
        <w:rPr>
          <w:b/>
          <w:bCs/>
        </w:rPr>
        <w:t xml:space="preserve">Human performance pillar — </w:t>
      </w:r>
      <w:r>
        <w:t xml:space="preserve">readiness/recovery/wellness rings, smart training goals, a weekly training planner, fitness &amp; recovery tracking, injury/rehab timeline, a wellness journal, and a multi-disciplinary care-team collaboration workspace.</w:t>
      </w:r>
    </w:p>
    <w:p>
      <w:pPr>
        <w:pStyle w:val="ListParagraph"/>
        <w:numPr>
          <w:ilvl w:val="0"/>
          <w:numId w:val="2"/>
        </w:numPr>
        <w:spacing w:after="90" w:line="290"/>
      </w:pPr>
      <w:r>
        <w:rPr>
          <w:b/>
          <w:bCs/>
        </w:rPr>
        <w:t xml:space="preserve">Career &amp; financial layer — </w:t>
      </w:r>
      <w:r>
        <w:t xml:space="preserve">an AI Career Coach, a Career Hub with an Olympic-pathway roadmap, an Athlete Wallet, a QR-verified Athlete Passport, event registration, and community challenges.</w:t>
      </w:r>
    </w:p>
    <w:p>
      <w:pPr>
        <w:pStyle w:val="Heading2"/>
      </w:pPr>
      <w:r>
        <w:t xml:space="preserve">1.2 Sponsor Portal</w:t>
      </w:r>
    </w:p>
    <w:p>
      <w:pPr>
        <w:pStyle w:val="ListParagraph"/>
        <w:numPr>
          <w:ilvl w:val="0"/>
          <w:numId w:val="2"/>
        </w:numPr>
        <w:spacing w:after="90" w:line="290"/>
      </w:pPr>
      <w:r>
        <w:rPr>
          <w:b/>
          <w:bCs/>
        </w:rPr>
        <w:t xml:space="preserve">Dashboard — </w:t>
      </w:r>
      <w:r>
        <w:t xml:space="preserve">portfolio-level view of sponsored athletes, pending approvals, and AI-suggested matches.</w:t>
      </w:r>
    </w:p>
    <w:p>
      <w:pPr>
        <w:pStyle w:val="ListParagraph"/>
        <w:numPr>
          <w:ilvl w:val="0"/>
          <w:numId w:val="2"/>
        </w:numPr>
        <w:spacing w:after="90" w:line="290"/>
      </w:pPr>
      <w:r>
        <w:rPr>
          <w:b/>
          <w:bCs/>
        </w:rPr>
        <w:t xml:space="preserve">Athlete discovery — </w:t>
      </w:r>
      <w:r>
        <w:t xml:space="preserve">filterable by sport, trust score, and sponsorship openness — respecting the access-tier logic in Section 4.</w:t>
      </w:r>
    </w:p>
    <w:p>
      <w:pPr>
        <w:pStyle w:val="ListParagraph"/>
        <w:numPr>
          <w:ilvl w:val="0"/>
          <w:numId w:val="2"/>
        </w:numPr>
        <w:spacing w:after="90" w:line="290"/>
      </w:pPr>
      <w:r>
        <w:rPr>
          <w:b/>
          <w:bCs/>
        </w:rPr>
        <w:t xml:space="preserve">Funding approvals — </w:t>
      </w:r>
      <w:r>
        <w:t xml:space="preserve">per-request approve/decline with risk flag and category.</w:t>
      </w:r>
    </w:p>
    <w:p>
      <w:pPr>
        <w:pStyle w:val="ListParagraph"/>
        <w:numPr>
          <w:ilvl w:val="0"/>
          <w:numId w:val="2"/>
        </w:numPr>
        <w:spacing w:after="90" w:line="290"/>
      </w:pPr>
      <w:r>
        <w:rPr>
          <w:b/>
          <w:bCs/>
        </w:rPr>
        <w:t xml:space="preserve">ROI / impact dashboard — </w:t>
      </w:r>
      <w:r>
        <w:t xml:space="preserve">utilization rate, disbursement totals, athlete media/story reach, and now a dedicated Performance Insights view showing training consistency and growth tied to sponsorship.</w:t>
      </w:r>
    </w:p>
    <w:p>
      <w:pPr>
        <w:pStyle w:val="ListParagraph"/>
        <w:numPr>
          <w:ilvl w:val="0"/>
          <w:numId w:val="2"/>
        </w:numPr>
        <w:spacing w:after="90" w:line="290"/>
      </w:pPr>
      <w:r>
        <w:rPr>
          <w:b/>
          <w:bCs/>
        </w:rPr>
        <w:t xml:space="preserve">Sponsor CRM — </w:t>
      </w:r>
      <w:r>
        <w:t xml:space="preserve">a lightweight pipeline (watchlist → contacted → in negotiation → sponsored) so a sponsor can track many athletes without losing context.</w:t>
      </w:r>
    </w:p>
    <w:p>
      <w:pPr>
        <w:pStyle w:val="Heading2"/>
      </w:pPr>
      <w:r>
        <w:t xml:space="preserve">1.3 Admin Portal</w:t>
      </w:r>
    </w:p>
    <w:p>
      <w:pPr>
        <w:pStyle w:val="ListParagraph"/>
        <w:numPr>
          <w:ilvl w:val="0"/>
          <w:numId w:val="2"/>
        </w:numPr>
        <w:spacing w:after="90" w:line="290"/>
      </w:pPr>
      <w:r>
        <w:rPr>
          <w:b/>
          <w:bCs/>
        </w:rPr>
        <w:t xml:space="preserve">Verification queue — </w:t>
      </w:r>
      <w:r>
        <w:t xml:space="preserve">review Aadhaar/identity and achievement submissions before they affect Trust Score.</w:t>
      </w:r>
    </w:p>
    <w:p>
      <w:pPr>
        <w:pStyle w:val="ListParagraph"/>
        <w:numPr>
          <w:ilvl w:val="0"/>
          <w:numId w:val="2"/>
        </w:numPr>
        <w:spacing w:after="90" w:line="290"/>
      </w:pPr>
      <w:r>
        <w:rPr>
          <w:b/>
          <w:bCs/>
        </w:rPr>
        <w:t xml:space="preserve">Fraud review — </w:t>
      </w:r>
      <w:r>
        <w:t xml:space="preserve">flags such as duplicate identity hashes or unusual request velocity.</w:t>
      </w:r>
    </w:p>
    <w:p>
      <w:pPr>
        <w:pStyle w:val="ListParagraph"/>
        <w:numPr>
          <w:ilvl w:val="0"/>
          <w:numId w:val="2"/>
        </w:numPr>
        <w:spacing w:after="90" w:line="290"/>
      </w:pPr>
      <w:r>
        <w:rPr>
          <w:b/>
          <w:bCs/>
        </w:rPr>
        <w:t xml:space="preserve">Sponsor management and visibility controls — </w:t>
      </w:r>
      <w:r>
        <w:t xml:space="preserve">the screen where access-tier rules (locked / partially open / fully open) are actually set per athlete.</w:t>
      </w:r>
    </w:p>
    <w:p>
      <w:pPr>
        <w:pStyle w:val="ListParagraph"/>
        <w:numPr>
          <w:ilvl w:val="0"/>
          <w:numId w:val="2"/>
        </w:numPr>
        <w:spacing w:after="90" w:line="290"/>
      </w:pPr>
      <w:r>
        <w:rPr>
          <w:b/>
          <w:bCs/>
        </w:rPr>
        <w:t xml:space="preserve">Audit log — </w:t>
      </w:r>
      <w:r>
        <w:t xml:space="preserve">an append-only record of verification, approval, and disbursement actions, now extended to cover every admin-initiated action across the platform (see Section 3.7).</w:t>
      </w:r>
    </w:p>
    <w:p>
      <w:r>
        <w:br w:type="page"/>
      </w:r>
    </w:p>
    <w:p>
      <w:pPr>
        <w:pStyle w:val="Heading1"/>
      </w:pPr>
      <w:r>
        <w:t xml:space="preserve">2. New in This Revision</w:t>
      </w:r>
    </w:p>
    <w:p>
      <w:pPr>
        <w:spacing w:after="160" w:line="300"/>
      </w:pPr>
      <w:r>
        <w:t xml:space="preserve">This revision adds seven features that close real collaboration, compliance, and discoverability gaps surfaced after the first prototype review — plus this PRD as a downloadable reference artifact embedded in the prototype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CE5" w:sz="2"/>
              <w:left w:val="single" w:color="D6DCE5" w:sz="2"/>
              <w:bottom w:val="single" w:color="D6DCE5" w:sz="2"/>
              <w:right w:val="single" w:color="D6DCE5" w:sz="2"/>
            </w:tcBorders>
            <w:shd w:fill="1F2937" w:val="clear"/>
            <w:tcMar>
              <w:top w:type="dxa" w:w="80"/>
              <w:left w:type="dxa" w:w="100"/>
              <w:bottom w:type="dxa" w:w="80"/>
              <w:right w:type="dxa" w:w="100"/>
            </w:tcMar>
          </w:tcPr>
          <w:p>
            <w:r>
              <w:rPr>
                <w:b/>
                <w:bCs/>
                <w:color w:val="FFFFFF"/>
                <w:sz w:val="19"/>
                <w:szCs w:val="19"/>
              </w:rPr>
              <w:t xml:space="preserve">Feature</w:t>
            </w:r>
          </w:p>
        </w:tc>
        <w:tc>
          <w:tcPr>
            <w:tcW w:type="dxa" w:w="3120"/>
            <w:tcBorders>
              <w:top w:val="single" w:color="D6DCE5" w:sz="2"/>
              <w:left w:val="single" w:color="D6DCE5" w:sz="2"/>
              <w:bottom w:val="single" w:color="D6DCE5" w:sz="2"/>
              <w:right w:val="single" w:color="D6DCE5" w:sz="2"/>
            </w:tcBorders>
            <w:shd w:fill="1F2937" w:val="clear"/>
            <w:tcMar>
              <w:top w:type="dxa" w:w="80"/>
              <w:left w:type="dxa" w:w="100"/>
              <w:bottom w:type="dxa" w:w="80"/>
              <w:right w:type="dxa" w:w="100"/>
            </w:tcMar>
          </w:tcPr>
          <w:p>
            <w:r>
              <w:rPr>
                <w:b/>
                <w:bCs/>
                <w:color w:val="FFFFFF"/>
                <w:sz w:val="19"/>
                <w:szCs w:val="19"/>
              </w:rPr>
              <w:t xml:space="preserve">Surface</w:t>
            </w:r>
          </w:p>
        </w:tc>
        <w:tc>
          <w:tcPr>
            <w:tcW w:type="dxa" w:w="3120"/>
            <w:tcBorders>
              <w:top w:val="single" w:color="D6DCE5" w:sz="2"/>
              <w:left w:val="single" w:color="D6DCE5" w:sz="2"/>
              <w:bottom w:val="single" w:color="D6DCE5" w:sz="2"/>
              <w:right w:val="single" w:color="D6DCE5" w:sz="2"/>
            </w:tcBorders>
            <w:shd w:fill="1F2937" w:val="clear"/>
            <w:tcMar>
              <w:top w:type="dxa" w:w="80"/>
              <w:left w:type="dxa" w:w="100"/>
              <w:bottom w:type="dxa" w:w="80"/>
              <w:right w:type="dxa" w:w="100"/>
            </w:tcMar>
          </w:tcPr>
          <w:p>
            <w:r>
              <w:rPr>
                <w:b/>
                <w:bCs/>
                <w:color w:val="FFFFFF"/>
                <w:sz w:val="19"/>
                <w:szCs w:val="19"/>
              </w:rPr>
              <w:t xml:space="preserve">Solves</w:t>
            </w:r>
          </w:p>
        </w:tc>
      </w:tr>
      <w:tr>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bCs/>
                <w:sz w:val="19"/>
                <w:szCs w:val="19"/>
              </w:rPr>
              <w:t xml:space="preserve">Live chat</w:t>
            </w:r>
          </w:p>
        </w:tc>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val="false"/>
                <w:bCs w:val="false"/>
                <w:sz w:val="19"/>
                <w:szCs w:val="19"/>
              </w:rPr>
              <w:t xml:space="preserve">Athlete ↔ Sponsor</w:t>
            </w:r>
          </w:p>
        </w:tc>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val="false"/>
                <w:bCs w:val="false"/>
                <w:sz w:val="19"/>
                <w:szCs w:val="19"/>
              </w:rPr>
              <w:t xml:space="preserve">Slow, off-platform negotiation</w:t>
            </w:r>
          </w:p>
        </w:tc>
      </w:tr>
      <w:tr>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bCs/>
                <w:sz w:val="19"/>
                <w:szCs w:val="19"/>
              </w:rPr>
              <w:t xml:space="preserve">Document e-signing</w:t>
            </w:r>
          </w:p>
        </w:tc>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val="false"/>
                <w:bCs w:val="false"/>
                <w:sz w:val="19"/>
                <w:szCs w:val="19"/>
              </w:rPr>
              <w:t xml:space="preserve">Sponsorship agreements</w:t>
            </w:r>
          </w:p>
        </w:tc>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val="false"/>
                <w:bCs w:val="false"/>
                <w:sz w:val="19"/>
                <w:szCs w:val="19"/>
              </w:rPr>
              <w:t xml:space="preserve">Manual PDF-and-email contracting</w:t>
            </w:r>
          </w:p>
        </w:tc>
      </w:tr>
      <w:tr>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bCs/>
                <w:sz w:val="19"/>
                <w:szCs w:val="19"/>
              </w:rPr>
              <w:t xml:space="preserve">Notification center</w:t>
            </w:r>
          </w:p>
        </w:tc>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val="false"/>
                <w:bCs w:val="false"/>
                <w:sz w:val="19"/>
                <w:szCs w:val="19"/>
              </w:rPr>
              <w:t xml:space="preserve">All roles</w:t>
            </w:r>
          </w:p>
        </w:tc>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val="false"/>
                <w:bCs w:val="false"/>
                <w:sz w:val="19"/>
                <w:szCs w:val="19"/>
              </w:rPr>
              <w:t xml:space="preserve">Missed deadlines, no granular control</w:t>
            </w:r>
          </w:p>
        </w:tc>
      </w:tr>
      <w:tr>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bCs/>
                <w:sz w:val="19"/>
                <w:szCs w:val="19"/>
              </w:rPr>
              <w:t xml:space="preserve">Calendar sync</w:t>
            </w:r>
          </w:p>
        </w:tc>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val="false"/>
                <w:bCs w:val="false"/>
                <w:sz w:val="19"/>
                <w:szCs w:val="19"/>
              </w:rPr>
              <w:t xml:space="preserve">Athlete · Google/Apple</w:t>
            </w:r>
          </w:p>
        </w:tc>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val="false"/>
                <w:bCs w:val="false"/>
                <w:sz w:val="19"/>
                <w:szCs w:val="19"/>
              </w:rPr>
              <w:t xml:space="preserve">Competitions live only inside UAI</w:t>
            </w:r>
          </w:p>
        </w:tc>
      </w:tr>
      <w:tr>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bCs/>
                <w:sz w:val="19"/>
                <w:szCs w:val="19"/>
              </w:rPr>
              <w:t xml:space="preserve">Public portfolio URLs</w:t>
            </w:r>
          </w:p>
        </w:tc>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val="false"/>
                <w:bCs w:val="false"/>
                <w:sz w:val="19"/>
                <w:szCs w:val="19"/>
              </w:rPr>
              <w:t xml:space="preserve">Athlete passport</w:t>
            </w:r>
          </w:p>
        </w:tc>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val="false"/>
                <w:bCs w:val="false"/>
                <w:sz w:val="19"/>
                <w:szCs w:val="19"/>
              </w:rPr>
              <w:t xml:space="preserve">No shareable link outside the app</w:t>
            </w:r>
          </w:p>
        </w:tc>
      </w:tr>
      <w:tr>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bCs/>
                <w:sz w:val="19"/>
                <w:szCs w:val="19"/>
              </w:rPr>
              <w:t xml:space="preserve">Team management</w:t>
            </w:r>
          </w:p>
        </w:tc>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val="false"/>
                <w:bCs w:val="false"/>
                <w:sz w:val="19"/>
                <w:szCs w:val="19"/>
              </w:rPr>
              <w:t xml:space="preserve">Academies / federations</w:t>
            </w:r>
          </w:p>
        </w:tc>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val="false"/>
                <w:bCs w:val="false"/>
                <w:sz w:val="19"/>
                <w:szCs w:val="19"/>
              </w:rPr>
              <w:t xml:space="preserve">No multi-athlete admin layer</w:t>
            </w:r>
          </w:p>
        </w:tc>
      </w:tr>
      <w:tr>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bCs/>
                <w:sz w:val="19"/>
                <w:szCs w:val="19"/>
              </w:rPr>
              <w:t xml:space="preserve">Admin audit logs</w:t>
            </w:r>
          </w:p>
        </w:tc>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val="false"/>
                <w:bCs w:val="false"/>
                <w:sz w:val="19"/>
                <w:szCs w:val="19"/>
              </w:rPr>
              <w:t xml:space="preserve">Admin</w:t>
            </w:r>
          </w:p>
        </w:tc>
        <w:tc>
          <w:tcPr>
            <w:tcW w:type="dxa" w:w="3120"/>
            <w:tcBorders>
              <w:top w:val="single" w:color="D6DCE5" w:sz="2"/>
              <w:left w:val="single" w:color="D6DCE5" w:sz="2"/>
              <w:bottom w:val="single" w:color="D6DCE5" w:sz="2"/>
              <w:right w:val="single" w:color="D6DCE5" w:sz="2"/>
            </w:tcBorders>
            <w:shd w:fill="FFFFFF" w:val="clear"/>
            <w:tcMar>
              <w:top w:type="dxa" w:w="70"/>
              <w:left w:type="dxa" w:w="100"/>
              <w:bottom w:type="dxa" w:w="70"/>
              <w:right w:type="dxa" w:w="100"/>
            </w:tcMar>
          </w:tcPr>
          <w:p>
            <w:r>
              <w:rPr>
                <w:b w:val="false"/>
                <w:bCs w:val="false"/>
                <w:sz w:val="19"/>
                <w:szCs w:val="19"/>
              </w:rPr>
              <w:t xml:space="preserve">Already partial — now platform-wide</w:t>
            </w:r>
          </w:p>
        </w:tc>
      </w:tr>
    </w:tbl>
    <w:p>
      <w:r>
        <w:br w:type="page"/>
      </w:r>
    </w:p>
    <w:p>
      <w:pPr>
        <w:pStyle w:val="Heading1"/>
      </w:pPr>
      <w:r>
        <w:t xml:space="preserve">3. Feature Specifications</w:t>
      </w:r>
    </w:p>
    <w:p>
      <w:pPr>
        <w:spacing w:after="160" w:line="300"/>
      </w:pPr>
      <w:r>
        <w:t xml:space="preserve">Each feature below follows the same structure used for the original prototype's "extra features" reasoning: the pain point first, the solution second, then the concrete screens and a RICE score for sequencing.</w:t>
      </w:r>
    </w:p>
    <w:p>
      <w:pPr>
        <w:spacing w:after="60" w:before="280"/>
      </w:pPr>
      <w:r>
        <w:rPr>
          <w:b/>
          <w:bCs/>
          <w:color w:val="78350F"/>
          <w:sz w:val="26"/>
          <w:szCs w:val="26"/>
        </w:rPr>
        <w:t xml:space="preserve">3.1 Live Chat — Athlete ↔ Sponsor</w:t>
      </w:r>
    </w:p>
    <w:p>
      <w:pPr>
        <w:spacing w:after="140"/>
      </w:pPr>
      <w:r>
        <w:rPr>
          <w:i/>
          <w:iCs/>
          <w:color w:val="475569"/>
          <w:sz w:val="20"/>
          <w:szCs w:val="20"/>
        </w:rPr>
        <w:t xml:space="preserve">Real-time messaging scoped to a funding relationship, not a general inbox.</w:t>
      </w:r>
    </w:p>
    <w:p>
      <w:pPr>
        <w:spacing w:after="120" w:line="300"/>
      </w:pPr>
      <w:r>
        <w:rPr>
          <w:b/>
          <w:bCs/>
        </w:rPr>
        <w:t xml:space="preserve">Problem: </w:t>
      </w:r>
      <w:r>
        <w:t xml:space="preserve">Negotiation and clarification currently happen over WhatsApp or email, outside any system of record — admins can't audit what was promised, and sponsors lose context when a conversation spans weeks.</w:t>
      </w:r>
    </w:p>
    <w:p>
      <w:pPr>
        <w:spacing w:after="120" w:line="300"/>
      </w:pPr>
      <w:r>
        <w:rPr>
          <w:b/>
          <w:bCs/>
        </w:rPr>
        <w:t xml:space="preserve">Solution: </w:t>
      </w:r>
      <w:r>
        <w:t xml:space="preserve">A chat thread attached to each athlete–sponsor relationship (and, separately, each support request), visible to the relevant admin for dispute resolution. Messages referencing a funding amount or deadline are auto-flagged for the admin audit log so verbal commitments don't disappear.</w:t>
      </w:r>
    </w:p>
    <w:p>
      <w:pPr>
        <w:spacing w:after="60" w:before="60"/>
      </w:pPr>
      <w:r>
        <w:rPr>
          <w:b/>
          <w:bCs/>
          <w:sz w:val="20"/>
          <w:szCs w:val="20"/>
        </w:rPr>
        <w:t xml:space="preserve">Key screens / states: </w:t>
      </w:r>
    </w:p>
    <w:p>
      <w:pPr>
        <w:pStyle w:val="ListParagraph"/>
        <w:numPr>
          <w:ilvl w:val="0"/>
          <w:numId w:val="2"/>
        </w:numPr>
        <w:spacing w:after="90" w:line="290"/>
      </w:pPr>
      <w:r>
        <w:t xml:space="preserve">Athlete Messages page — existing inbox extended with sponsor-specific threads and read receipts.</w:t>
      </w:r>
    </w:p>
    <w:p>
      <w:pPr>
        <w:pStyle w:val="ListParagraph"/>
        <w:numPr>
          <w:ilvl w:val="0"/>
          <w:numId w:val="2"/>
        </w:numPr>
        <w:spacing w:after="90" w:line="290"/>
      </w:pPr>
      <w:r>
        <w:t xml:space="preserve">Sponsor Portal — a Messages tab mirroring the athlete view, scoped to that sponsor's athletes only.</w:t>
      </w:r>
    </w:p>
    <w:p>
      <w:pPr>
        <w:pStyle w:val="ListParagraph"/>
        <w:numPr>
          <w:ilvl w:val="0"/>
          <w:numId w:val="2"/>
        </w:numPr>
        <w:spacing w:after="90" w:line="290"/>
      </w:pPr>
      <w:r>
        <w:t xml:space="preserve">Inline “this conversation references ₹” flag visible to admins reviewing a funding request.</w:t>
      </w:r>
    </w:p>
    <w:p>
      <w:pPr>
        <w:pStyle w:val="ListParagraph"/>
        <w:numPr>
          <w:ilvl w:val="0"/>
          <w:numId w:val="2"/>
        </w:numPr>
        <w:spacing w:after="90" w:line="290"/>
      </w:pPr>
      <w:r>
        <w:t xml:space="preserve">Typing indicators, online status, and message-level timestamps for auditability.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Reach</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Impact</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Confidence</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Effort</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RICE score</w:t>
            </w:r>
          </w:p>
        </w:tc>
      </w:tr>
      <w:tr>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High</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High</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High</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Medium</w:t>
            </w:r>
          </w:p>
        </w:tc>
        <w:tc>
          <w:tcPr>
            <w:tcW w:type="dxa" w:w="1872"/>
            <w:tcBorders>
              <w:top w:val="single" w:color="D6DCE5" w:sz="2"/>
              <w:left w:val="single" w:color="D6DCE5" w:sz="2"/>
              <w:bottom w:val="single" w:color="D6DCE5" w:sz="2"/>
              <w:right w:val="single" w:color="D6DCE5" w:sz="2"/>
            </w:tcBorders>
            <w:shd w:fill="FDF3E2" w:val="clear"/>
            <w:tcMar>
              <w:top w:type="dxa" w:w="70"/>
              <w:left w:type="dxa" w:w="80"/>
              <w:bottom w:type="dxa" w:w="70"/>
              <w:right w:type="dxa" w:w="80"/>
            </w:tcMar>
          </w:tcPr>
          <w:p>
            <w:pPr>
              <w:jc w:val="center"/>
            </w:pPr>
            <w:r>
              <w:rPr>
                <w:b/>
                <w:bCs/>
                <w:color w:val="78350F"/>
                <w:sz w:val="19"/>
                <w:szCs w:val="19"/>
              </w:rPr>
              <w:t xml:space="preserve">8.1</w:t>
            </w:r>
          </w:p>
        </w:tc>
      </w:tr>
    </w:tbl>
    <w:p>
      <w:pPr>
        <w:spacing w:after="60" w:before="280"/>
      </w:pPr>
      <w:r>
        <w:rPr>
          <w:b/>
          <w:bCs/>
          <w:color w:val="78350F"/>
          <w:sz w:val="26"/>
          <w:szCs w:val="26"/>
        </w:rPr>
        <w:t xml:space="preserve">3.2 In-App Document Signing for Sponsorship Agreements</w:t>
      </w:r>
    </w:p>
    <w:p>
      <w:pPr>
        <w:spacing w:after="140"/>
      </w:pPr>
      <w:r>
        <w:rPr>
          <w:i/>
          <w:iCs/>
          <w:color w:val="475569"/>
          <w:sz w:val="20"/>
          <w:szCs w:val="20"/>
        </w:rPr>
        <w:t xml:space="preserve">Turn a sponsorship approval into a binding agreement without leaving UAI.</w:t>
      </w:r>
    </w:p>
    <w:p>
      <w:pPr>
        <w:spacing w:after="120" w:line="300"/>
      </w:pPr>
      <w:r>
        <w:rPr>
          <w:b/>
          <w:bCs/>
        </w:rPr>
        <w:t xml:space="preserve">Problem: </w:t>
      </w:r>
      <w:r>
        <w:t xml:space="preserve">Once a sponsor approves funding, the actual contract is usually a PDF emailed back and forth for physical or DocuSign-style signature — a process disconnected from the funding timeline the rest of the product is built around.</w:t>
      </w:r>
    </w:p>
    <w:p>
      <w:pPr>
        <w:spacing w:after="120" w:line="300"/>
      </w:pPr>
      <w:r>
        <w:rPr>
          <w:b/>
          <w:bCs/>
        </w:rPr>
        <w:t xml:space="preserve">Solution: </w:t>
      </w:r>
      <w:r>
        <w:t xml:space="preserve">A lightweight e-sign flow: the admin attaches a generated agreement (program terms, amount, duration, category restrictions) to an approved request; both athlete and sponsor sign in-app; the signed document lands in the athlete's Document Vault and the funding timeline auto-advances to “Funds releasing.”</w:t>
      </w:r>
    </w:p>
    <w:p>
      <w:pPr>
        <w:spacing w:after="60" w:before="60"/>
      </w:pPr>
      <w:r>
        <w:rPr>
          <w:b/>
          <w:bCs/>
          <w:sz w:val="20"/>
          <w:szCs w:val="20"/>
        </w:rPr>
        <w:t xml:space="preserve">Key screens / states: </w:t>
      </w:r>
    </w:p>
    <w:p>
      <w:pPr>
        <w:pStyle w:val="ListParagraph"/>
        <w:numPr>
          <w:ilvl w:val="0"/>
          <w:numId w:val="2"/>
        </w:numPr>
        <w:spacing w:after="90" w:line="290"/>
      </w:pPr>
      <w:r>
        <w:t xml:space="preserve">New step in the funding lifecycle: Approved → Agreement sent → Signed by athlete → Signed by sponsor → Funds released.</w:t>
      </w:r>
    </w:p>
    <w:p>
      <w:pPr>
        <w:pStyle w:val="ListParagraph"/>
        <w:numPr>
          <w:ilvl w:val="0"/>
          <w:numId w:val="2"/>
        </w:numPr>
        <w:spacing w:after="90" w:line="290"/>
      </w:pPr>
      <w:r>
        <w:t xml:space="preserve">Signature pad / typed-signature capture with timestamp and IP-style metadata for audit purposes.</w:t>
      </w:r>
    </w:p>
    <w:p>
      <w:pPr>
        <w:pStyle w:val="ListParagraph"/>
        <w:numPr>
          <w:ilvl w:val="0"/>
          <w:numId w:val="2"/>
        </w:numPr>
        <w:spacing w:after="90" w:line="290"/>
      </w:pPr>
      <w:r>
        <w:t xml:space="preserve">Document Vault entry auto-created per signed agreement, linked from both the athlete and sponsor views.</w:t>
      </w:r>
    </w:p>
    <w:p>
      <w:pPr>
        <w:pStyle w:val="ListParagraph"/>
        <w:numPr>
          <w:ilvl w:val="0"/>
          <w:numId w:val="2"/>
        </w:numPr>
        <w:spacing w:after="90" w:line="290"/>
      </w:pPr>
      <w:r>
        <w:t xml:space="preserve">Renewal agreements reuse the prior template with amount/date fields editable by the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Reach</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Impact</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Confidence</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Effort</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RICE score</w:t>
            </w:r>
          </w:p>
        </w:tc>
      </w:tr>
      <w:tr>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Medium</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High</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Medium</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Medium</w:t>
            </w:r>
          </w:p>
        </w:tc>
        <w:tc>
          <w:tcPr>
            <w:tcW w:type="dxa" w:w="1872"/>
            <w:tcBorders>
              <w:top w:val="single" w:color="D6DCE5" w:sz="2"/>
              <w:left w:val="single" w:color="D6DCE5" w:sz="2"/>
              <w:bottom w:val="single" w:color="D6DCE5" w:sz="2"/>
              <w:right w:val="single" w:color="D6DCE5" w:sz="2"/>
            </w:tcBorders>
            <w:shd w:fill="FDF3E2" w:val="clear"/>
            <w:tcMar>
              <w:top w:type="dxa" w:w="70"/>
              <w:left w:type="dxa" w:w="80"/>
              <w:bottom w:type="dxa" w:w="70"/>
              <w:right w:type="dxa" w:w="80"/>
            </w:tcMar>
          </w:tcPr>
          <w:p>
            <w:pPr>
              <w:jc w:val="center"/>
            </w:pPr>
            <w:r>
              <w:rPr>
                <w:b/>
                <w:bCs/>
                <w:color w:val="78350F"/>
                <w:sz w:val="19"/>
                <w:szCs w:val="19"/>
              </w:rPr>
              <w:t xml:space="preserve">6.4</w:t>
            </w:r>
          </w:p>
        </w:tc>
      </w:tr>
    </w:tbl>
    <w:p>
      <w:pPr>
        <w:spacing w:after="60" w:before="280"/>
      </w:pPr>
      <w:r>
        <w:rPr>
          <w:b/>
          <w:bCs/>
          <w:color w:val="78350F"/>
          <w:sz w:val="26"/>
          <w:szCs w:val="26"/>
        </w:rPr>
        <w:t xml:space="preserve">3.3 Push Notification Center with Granular Preferences</w:t>
      </w:r>
    </w:p>
    <w:p>
      <w:pPr>
        <w:spacing w:after="140"/>
      </w:pPr>
      <w:r>
        <w:rPr>
          <w:i/>
          <w:iCs/>
          <w:color w:val="475569"/>
          <w:sz w:val="20"/>
          <w:szCs w:val="20"/>
        </w:rPr>
        <w:t xml:space="preserve">One settings screen that controls every alert across every role.</w:t>
      </w:r>
    </w:p>
    <w:p>
      <w:pPr>
        <w:spacing w:after="120" w:line="300"/>
      </w:pPr>
      <w:r>
        <w:rPr>
          <w:b/>
          <w:bCs/>
        </w:rPr>
        <w:t xml:space="preserve">Problem: </w:t>
      </w:r>
      <w:r>
        <w:t xml:space="preserve">Notifications today are implied by sni-badge counts scattered through the sidebar — there is no single place to see history or turn down noise, which is how athletes start ignoring genuinely urgent ones (funding deadlines, verification requests).</w:t>
      </w:r>
    </w:p>
    <w:p>
      <w:pPr>
        <w:spacing w:after="120" w:line="300"/>
      </w:pPr>
      <w:r>
        <w:rPr>
          <w:b/>
          <w:bCs/>
        </w:rPr>
        <w:t xml:space="preserve">Solution: </w:t>
      </w:r>
      <w:r>
        <w:t xml:space="preserve">A unified Notification Center (bell icon, already present in the topbar) listing every alert chronologically, grouped by type, with a Preferences panel that lets each role mute or adjust delivery for each category independently — without ever muting safety-critical categories like fraud flags or funding-deadline reminders.</w:t>
      </w:r>
    </w:p>
    <w:p>
      <w:pPr>
        <w:spacing w:after="60" w:before="60"/>
      </w:pPr>
      <w:r>
        <w:rPr>
          <w:b/>
          <w:bCs/>
          <w:sz w:val="20"/>
          <w:szCs w:val="20"/>
        </w:rPr>
        <w:t xml:space="preserve">Key screens / states: </w:t>
      </w:r>
    </w:p>
    <w:p>
      <w:pPr>
        <w:pStyle w:val="ListParagraph"/>
        <w:numPr>
          <w:ilvl w:val="0"/>
          <w:numId w:val="2"/>
        </w:numPr>
        <w:spacing w:after="90" w:line="290"/>
      </w:pPr>
      <w:r>
        <w:t xml:space="preserve">Notification Center page: All / Unread / Funding / Verification / Performance / Network tabs.</w:t>
      </w:r>
    </w:p>
    <w:p>
      <w:pPr>
        <w:pStyle w:val="ListParagraph"/>
        <w:numPr>
          <w:ilvl w:val="0"/>
          <w:numId w:val="2"/>
        </w:numPr>
        <w:spacing w:after="90" w:line="290"/>
      </w:pPr>
      <w:r>
        <w:t xml:space="preserve">Preferences panel — per-category toggle for in-app, email, and push, with critical categories locked to “always on.”</w:t>
      </w:r>
    </w:p>
    <w:p>
      <w:pPr>
        <w:pStyle w:val="ListParagraph"/>
        <w:numPr>
          <w:ilvl w:val="0"/>
          <w:numId w:val="2"/>
        </w:numPr>
        <w:spacing w:after="90" w:line="290"/>
      </w:pPr>
      <w:r>
        <w:t xml:space="preserve">Digest mode — daily summary instead of real-time, for lower-urgency categories (feed activity, mentions).</w:t>
      </w:r>
    </w:p>
    <w:p>
      <w:pPr>
        <w:pStyle w:val="ListParagraph"/>
        <w:numPr>
          <w:ilvl w:val="0"/>
          <w:numId w:val="2"/>
        </w:numPr>
        <w:spacing w:after="90" w:line="290"/>
      </w:pPr>
      <w:r>
        <w:t xml:space="preserve">Badge counts in the sidebar now read from the same underlying store as this center, so they stay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Reach</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Impact</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Confidence</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Effort</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RICE score</w:t>
            </w:r>
          </w:p>
        </w:tc>
      </w:tr>
      <w:tr>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High</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Medium</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High</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Low</w:t>
            </w:r>
          </w:p>
        </w:tc>
        <w:tc>
          <w:tcPr>
            <w:tcW w:type="dxa" w:w="1872"/>
            <w:tcBorders>
              <w:top w:val="single" w:color="D6DCE5" w:sz="2"/>
              <w:left w:val="single" w:color="D6DCE5" w:sz="2"/>
              <w:bottom w:val="single" w:color="D6DCE5" w:sz="2"/>
              <w:right w:val="single" w:color="D6DCE5" w:sz="2"/>
            </w:tcBorders>
            <w:shd w:fill="FDF3E2" w:val="clear"/>
            <w:tcMar>
              <w:top w:type="dxa" w:w="70"/>
              <w:left w:type="dxa" w:w="80"/>
              <w:bottom w:type="dxa" w:w="70"/>
              <w:right w:type="dxa" w:w="80"/>
            </w:tcMar>
          </w:tcPr>
          <w:p>
            <w:pPr>
              <w:jc w:val="center"/>
            </w:pPr>
            <w:r>
              <w:rPr>
                <w:b/>
                <w:bCs/>
                <w:color w:val="78350F"/>
                <w:sz w:val="19"/>
                <w:szCs w:val="19"/>
              </w:rPr>
              <w:t xml:space="preserve">7.5</w:t>
            </w:r>
          </w:p>
        </w:tc>
      </w:tr>
    </w:tbl>
    <w:p>
      <w:pPr>
        <w:spacing w:after="60" w:before="280"/>
      </w:pPr>
      <w:r>
        <w:rPr>
          <w:b/>
          <w:bCs/>
          <w:color w:val="78350F"/>
          <w:sz w:val="26"/>
          <w:szCs w:val="26"/>
        </w:rPr>
        <w:t xml:space="preserve">3.4 Calendar Sync (Google / Apple)</w:t>
      </w:r>
    </w:p>
    <w:p>
      <w:pPr>
        <w:spacing w:after="140"/>
      </w:pPr>
      <w:r>
        <w:rPr>
          <w:i/>
          <w:iCs/>
          <w:color w:val="475569"/>
          <w:sz w:val="20"/>
          <w:szCs w:val="20"/>
        </w:rPr>
        <w:t xml:space="preserve">Competitions, trials, and deadlines that already live in the athlete's real calendar.</w:t>
      </w:r>
    </w:p>
    <w:p>
      <w:pPr>
        <w:spacing w:after="120" w:line="300"/>
      </w:pPr>
      <w:r>
        <w:rPr>
          <w:b/>
          <w:bCs/>
        </w:rPr>
        <w:t xml:space="preserve">Problem: </w:t>
      </w:r>
      <w:r>
        <w:t xml:space="preserve">An athlete juggling training, school/work, and a federation calendar will not check a fifth app daily just for dates — events created in UAI (trials, renewal dates, document deadlines) need to surface where the athlete already looks.</w:t>
      </w:r>
    </w:p>
    <w:p>
      <w:pPr>
        <w:spacing w:after="120" w:line="300"/>
      </w:pPr>
      <w:r>
        <w:rPr>
          <w:b/>
          <w:bCs/>
        </w:rPr>
        <w:t xml:space="preserve">Solution: </w:t>
      </w:r>
      <w:r>
        <w:t xml:space="preserve">One-way sync (UAI → external calendar) at launch, using standard .ics export plus a “Connect Google Calendar” / “Connect Apple Calendar” action from the Events and Career Hub pages. Two-way sync (so a calendar conflict surfaces back in UAI) is explicitly framed as a v2 item, not promised in v1.</w:t>
      </w:r>
    </w:p>
    <w:p>
      <w:pPr>
        <w:spacing w:after="60" w:before="60"/>
      </w:pPr>
      <w:r>
        <w:rPr>
          <w:b/>
          <w:bCs/>
          <w:sz w:val="20"/>
          <w:szCs w:val="20"/>
        </w:rPr>
        <w:t xml:space="preserve">Key screens / states: </w:t>
      </w:r>
    </w:p>
    <w:p>
      <w:pPr>
        <w:pStyle w:val="ListParagraph"/>
        <w:numPr>
          <w:ilvl w:val="0"/>
          <w:numId w:val="2"/>
        </w:numPr>
        <w:spacing w:after="90" w:line="290"/>
      </w:pPr>
      <w:r>
        <w:t xml:space="preserve">Events page — “Sync calendar” action (already scaffolded in the prototype topbar) opens a connect flow.</w:t>
      </w:r>
    </w:p>
    <w:p>
      <w:pPr>
        <w:pStyle w:val="ListParagraph"/>
        <w:numPr>
          <w:ilvl w:val="0"/>
          <w:numId w:val="2"/>
        </w:numPr>
        <w:spacing w:after="90" w:line="290"/>
      </w:pPr>
      <w:r>
        <w:t xml:space="preserve">Per-event “Add to calendar” button generating a downloadable .ics file as the fallback for any provider.</w:t>
      </w:r>
    </w:p>
    <w:p>
      <w:pPr>
        <w:pStyle w:val="ListParagraph"/>
        <w:numPr>
          <w:ilvl w:val="0"/>
          <w:numId w:val="2"/>
        </w:numPr>
        <w:spacing w:after="90" w:line="290"/>
      </w:pPr>
      <w:r>
        <w:t xml:space="preserve">Career Hub roadmap milestones and funding-renewal dates included in the synced feed, not just competitions.</w:t>
      </w:r>
    </w:p>
    <w:p>
      <w:pPr>
        <w:pStyle w:val="ListParagraph"/>
        <w:numPr>
          <w:ilvl w:val="0"/>
          <w:numId w:val="2"/>
        </w:numPr>
        <w:spacing w:after="90" w:line="290"/>
      </w:pPr>
      <w:r>
        <w:t xml:space="preserve">Sync status indicator (Connected / Last synced Xm ago) so staleness is visible, not silent.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Reach</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Impact</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Confidence</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Effort</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RICE score</w:t>
            </w:r>
          </w:p>
        </w:tc>
      </w:tr>
      <w:tr>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Medium</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Medium</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Medium</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Medium</w:t>
            </w:r>
          </w:p>
        </w:tc>
        <w:tc>
          <w:tcPr>
            <w:tcW w:type="dxa" w:w="1872"/>
            <w:tcBorders>
              <w:top w:val="single" w:color="D6DCE5" w:sz="2"/>
              <w:left w:val="single" w:color="D6DCE5" w:sz="2"/>
              <w:bottom w:val="single" w:color="D6DCE5" w:sz="2"/>
              <w:right w:val="single" w:color="D6DCE5" w:sz="2"/>
            </w:tcBorders>
            <w:shd w:fill="FDF3E2" w:val="clear"/>
            <w:tcMar>
              <w:top w:type="dxa" w:w="70"/>
              <w:left w:type="dxa" w:w="80"/>
              <w:bottom w:type="dxa" w:w="70"/>
              <w:right w:type="dxa" w:w="80"/>
            </w:tcMar>
          </w:tcPr>
          <w:p>
            <w:pPr>
              <w:jc w:val="center"/>
            </w:pPr>
            <w:r>
              <w:rPr>
                <w:b/>
                <w:bCs/>
                <w:color w:val="78350F"/>
                <w:sz w:val="19"/>
                <w:szCs w:val="19"/>
              </w:rPr>
              <w:t xml:space="preserve">4.5</w:t>
            </w:r>
          </w:p>
        </w:tc>
      </w:tr>
    </w:tbl>
    <w:p>
      <w:pPr>
        <w:spacing w:after="60" w:before="280"/>
      </w:pPr>
      <w:r>
        <w:rPr>
          <w:b/>
          <w:bCs/>
          <w:color w:val="78350F"/>
          <w:sz w:val="26"/>
          <w:szCs w:val="26"/>
        </w:rPr>
        <w:t xml:space="preserve">3.5 Public Athlete Portfolio URLs</w:t>
      </w:r>
    </w:p>
    <w:p>
      <w:pPr>
        <w:spacing w:after="140"/>
      </w:pPr>
      <w:r>
        <w:rPr>
          <w:i/>
          <w:iCs/>
          <w:color w:val="475569"/>
          <w:sz w:val="20"/>
          <w:szCs w:val="20"/>
        </w:rPr>
        <w:t xml:space="preserve">A profile link that works for someone who has never opened UAI.</w:t>
      </w:r>
    </w:p>
    <w:p>
      <w:pPr>
        <w:spacing w:after="120" w:line="300"/>
      </w:pPr>
      <w:r>
        <w:rPr>
          <w:b/>
          <w:bCs/>
        </w:rPr>
        <w:t xml:space="preserve">Problem: </w:t>
      </w:r>
      <w:r>
        <w:t xml:space="preserve">The Athlete Passport (QR-based) solves in-person verification, but a sponsor's procurement team, a journalist, or a federation official sharing a profile over email needs a normal clickable link — a QR code alone doesn't work in that context.</w:t>
      </w:r>
    </w:p>
    <w:p>
      <w:pPr>
        <w:spacing w:after="120" w:line="300"/>
      </w:pPr>
      <w:r>
        <w:rPr>
          <w:b/>
          <w:bCs/>
        </w:rPr>
        <w:t xml:space="preserve">Solution: </w:t>
      </w:r>
      <w:r>
        <w:t xml:space="preserve">A public, read-only portfolio page at a stable URL per athlete (uai.app/p/[handle]), showing the same verified data as the Passport — Trust Score, badges, achievements, career timeline, highlight videos — with privacy settings (Public / Sponsors only / Private) respected exactly as configured in onboarding Step 9.</w:t>
      </w:r>
    </w:p>
    <w:p>
      <w:pPr>
        <w:spacing w:after="60" w:before="60"/>
      </w:pPr>
      <w:r>
        <w:rPr>
          <w:b/>
          <w:bCs/>
          <w:sz w:val="20"/>
          <w:szCs w:val="20"/>
        </w:rPr>
        <w:t xml:space="preserve">Key screens / states: </w:t>
      </w:r>
    </w:p>
    <w:p>
      <w:pPr>
        <w:pStyle w:val="ListParagraph"/>
        <w:numPr>
          <w:ilvl w:val="0"/>
          <w:numId w:val="2"/>
        </w:numPr>
        <w:spacing w:after="90" w:line="290"/>
      </w:pPr>
      <w:r>
        <w:t xml:space="preserve">Athlete Profile and Passport pages — “Public link” action (already present on the Passport page) now resolves to a real shareable URL with copy-to-clipboard.</w:t>
      </w:r>
    </w:p>
    <w:p>
      <w:pPr>
        <w:pStyle w:val="ListParagraph"/>
        <w:numPr>
          <w:ilvl w:val="0"/>
          <w:numId w:val="2"/>
        </w:numPr>
        <w:spacing w:after="90" w:line="290"/>
      </w:pPr>
      <w:r>
        <w:t xml:space="preserve">Privacy-tier banner on the public page itself, so the athlete can see exactly what a visitor sees.</w:t>
      </w:r>
    </w:p>
    <w:p>
      <w:pPr>
        <w:pStyle w:val="ListParagraph"/>
        <w:numPr>
          <w:ilvl w:val="0"/>
          <w:numId w:val="2"/>
        </w:numPr>
        <w:spacing w:after="90" w:line="290"/>
      </w:pPr>
      <w:r>
        <w:t xml:space="preserve">Open Graph–style preview card (photo, sport, Trust Score, headline achievement) for link previews in messaging apps.</w:t>
      </w:r>
    </w:p>
    <w:p>
      <w:pPr>
        <w:pStyle w:val="ListParagraph"/>
        <w:numPr>
          <w:ilvl w:val="0"/>
          <w:numId w:val="2"/>
        </w:numPr>
        <w:spacing w:after="90" w:line="290"/>
      </w:pPr>
      <w:r>
        <w:t xml:space="preserve">View counter feeding the existing “profile views” metric in athlete analytics — public traffic is not invisible to the athlete.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Reach</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Impact</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Confidence</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Effort</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RICE score</w:t>
            </w:r>
          </w:p>
        </w:tc>
      </w:tr>
      <w:tr>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High</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Medium</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High</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Low</w:t>
            </w:r>
          </w:p>
        </w:tc>
        <w:tc>
          <w:tcPr>
            <w:tcW w:type="dxa" w:w="1872"/>
            <w:tcBorders>
              <w:top w:val="single" w:color="D6DCE5" w:sz="2"/>
              <w:left w:val="single" w:color="D6DCE5" w:sz="2"/>
              <w:bottom w:val="single" w:color="D6DCE5" w:sz="2"/>
              <w:right w:val="single" w:color="D6DCE5" w:sz="2"/>
            </w:tcBorders>
            <w:shd w:fill="FDF3E2" w:val="clear"/>
            <w:tcMar>
              <w:top w:type="dxa" w:w="70"/>
              <w:left w:type="dxa" w:w="80"/>
              <w:bottom w:type="dxa" w:w="70"/>
              <w:right w:type="dxa" w:w="80"/>
            </w:tcMar>
          </w:tcPr>
          <w:p>
            <w:pPr>
              <w:jc w:val="center"/>
            </w:pPr>
            <w:r>
              <w:rPr>
                <w:b/>
                <w:bCs/>
                <w:color w:val="78350F"/>
                <w:sz w:val="19"/>
                <w:szCs w:val="19"/>
              </w:rPr>
              <w:t xml:space="preserve">7.0</w:t>
            </w:r>
          </w:p>
        </w:tc>
      </w:tr>
    </w:tbl>
    <w:p>
      <w:pPr>
        <w:spacing w:after="60" w:before="280"/>
      </w:pPr>
      <w:r>
        <w:rPr>
          <w:b/>
          <w:bCs/>
          <w:color w:val="78350F"/>
          <w:sz w:val="26"/>
          <w:szCs w:val="26"/>
        </w:rPr>
        <w:t xml:space="preserve">3.6 Team Management for Academies and Federations</w:t>
      </w:r>
    </w:p>
    <w:p>
      <w:pPr>
        <w:spacing w:after="140"/>
      </w:pPr>
      <w:r>
        <w:rPr>
          <w:i/>
          <w:iCs/>
          <w:color w:val="475569"/>
          <w:sz w:val="20"/>
          <w:szCs w:val="20"/>
        </w:rPr>
        <w:t xml:space="preserve">A fourth role for organizations that manage many athletes, not one.</w:t>
      </w:r>
    </w:p>
    <w:p>
      <w:pPr>
        <w:spacing w:after="120" w:line="300"/>
      </w:pPr>
      <w:r>
        <w:rPr>
          <w:b/>
          <w:bCs/>
        </w:rPr>
        <w:t xml:space="preserve">Problem: </w:t>
      </w:r>
      <w:r>
        <w:t xml:space="preserve">Academies and federations are currently invisible in the role model — an academy coach with 40 athletes has no way to see them as a cohort, and a federation cannot bulk-verify or bulk-message its registered athletes.</w:t>
      </w:r>
    </w:p>
    <w:p>
      <w:pPr>
        <w:spacing w:after="120" w:line="300"/>
      </w:pPr>
      <w:r>
        <w:rPr>
          <w:b/>
          <w:bCs/>
        </w:rPr>
        <w:t xml:space="preserve">Solution: </w:t>
      </w:r>
      <w:r>
        <w:t xml:space="preserve">A new Team/Org role sitting alongside Athlete, Sponsor, and Admin: a roster view of all athletes under that academy or federation, bulk actions (verification nudges, training-plan assignment, broadcast messages), and an aggregate Trust Score / readiness view across the roster — without giving the org sponsor-level financial visibility unless explicitly granted.</w:t>
      </w:r>
    </w:p>
    <w:p>
      <w:pPr>
        <w:spacing w:after="60" w:before="60"/>
      </w:pPr>
      <w:r>
        <w:rPr>
          <w:b/>
          <w:bCs/>
          <w:sz w:val="20"/>
          <w:szCs w:val="20"/>
        </w:rPr>
        <w:t xml:space="preserve">Key screens / states: </w:t>
      </w:r>
    </w:p>
    <w:p>
      <w:pPr>
        <w:pStyle w:val="ListParagraph"/>
        <w:numPr>
          <w:ilvl w:val="0"/>
          <w:numId w:val="2"/>
        </w:numPr>
        <w:spacing w:after="90" w:line="290"/>
      </w:pPr>
      <w:r>
        <w:t xml:space="preserve">New role switcher entry: Team (Academy/Federation), with its own sidebar mirroring Admin's structure but scoped to the org's own roster.</w:t>
      </w:r>
    </w:p>
    <w:p>
      <w:pPr>
        <w:pStyle w:val="ListParagraph"/>
        <w:numPr>
          <w:ilvl w:val="0"/>
          <w:numId w:val="2"/>
        </w:numPr>
        <w:spacing w:after="90" w:line="290"/>
      </w:pPr>
      <w:r>
        <w:t xml:space="preserve">Roster table — sortable by Trust Score, readiness, verification status, and active sponsorship.</w:t>
      </w:r>
    </w:p>
    <w:p>
      <w:pPr>
        <w:pStyle w:val="ListParagraph"/>
        <w:numPr>
          <w:ilvl w:val="0"/>
          <w:numId w:val="2"/>
        </w:numPr>
        <w:spacing w:after="90" w:line="290"/>
      </w:pPr>
      <w:r>
        <w:t xml:space="preserve">Bulk actions: send verification reminder, assign training plan, broadcast announcement to the whole roster or a filtered subset.</w:t>
      </w:r>
    </w:p>
    <w:p>
      <w:pPr>
        <w:pStyle w:val="ListParagraph"/>
        <w:numPr>
          <w:ilvl w:val="0"/>
          <w:numId w:val="2"/>
        </w:numPr>
        <w:spacing w:after="90" w:line="290"/>
      </w:pPr>
      <w:r>
        <w:t xml:space="preserve">Aggregate readiness dashboard — same gradient-ring language as the individual Performance Dashboard, rolled up to squad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Reach</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Impact</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Confidence</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Effort</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RICE score</w:t>
            </w:r>
          </w:p>
        </w:tc>
      </w:tr>
      <w:tr>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Medium</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High</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Medium</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High</w:t>
            </w:r>
          </w:p>
        </w:tc>
        <w:tc>
          <w:tcPr>
            <w:tcW w:type="dxa" w:w="1872"/>
            <w:tcBorders>
              <w:top w:val="single" w:color="D6DCE5" w:sz="2"/>
              <w:left w:val="single" w:color="D6DCE5" w:sz="2"/>
              <w:bottom w:val="single" w:color="D6DCE5" w:sz="2"/>
              <w:right w:val="single" w:color="D6DCE5" w:sz="2"/>
            </w:tcBorders>
            <w:shd w:fill="FDF3E2" w:val="clear"/>
            <w:tcMar>
              <w:top w:type="dxa" w:w="70"/>
              <w:left w:type="dxa" w:w="80"/>
              <w:bottom w:type="dxa" w:w="70"/>
              <w:right w:type="dxa" w:w="80"/>
            </w:tcMar>
          </w:tcPr>
          <w:p>
            <w:pPr>
              <w:jc w:val="center"/>
            </w:pPr>
            <w:r>
              <w:rPr>
                <w:b/>
                <w:bCs/>
                <w:color w:val="78350F"/>
                <w:sz w:val="19"/>
                <w:szCs w:val="19"/>
              </w:rPr>
              <w:t xml:space="preserve">5.2</w:t>
            </w:r>
          </w:p>
        </w:tc>
      </w:tr>
    </w:tbl>
    <w:p>
      <w:pPr>
        <w:spacing w:after="60" w:before="280"/>
      </w:pPr>
      <w:r>
        <w:rPr>
          <w:b/>
          <w:bCs/>
          <w:color w:val="78350F"/>
          <w:sz w:val="26"/>
          <w:szCs w:val="26"/>
        </w:rPr>
        <w:t xml:space="preserve">3.7 Admin Audit Logs — Platform-Wide</w:t>
      </w:r>
    </w:p>
    <w:p>
      <w:pPr>
        <w:spacing w:after="140"/>
      </w:pPr>
      <w:r>
        <w:rPr>
          <w:i/>
          <w:iCs/>
          <w:color w:val="475569"/>
          <w:sz w:val="20"/>
          <w:szCs w:val="20"/>
        </w:rPr>
        <w:t xml:space="preserve">Every admin action, not just verification and disbursement, in one append-only record.</w:t>
      </w:r>
    </w:p>
    <w:p>
      <w:pPr>
        <w:spacing w:after="120" w:line="300"/>
      </w:pPr>
      <w:r>
        <w:rPr>
          <w:b/>
          <w:bCs/>
        </w:rPr>
        <w:t xml:space="preserve">Problem: </w:t>
      </w:r>
      <w:r>
        <w:t xml:space="preserve">The original Audit Log page already covers verification, approval, and disbursement events. As Admin gains more surface area (visibility-tier changes, fraud-flag overrides, agreement generation, team-management bulk actions), an incomplete audit trail becomes a real governance gap, not just a missing nice-to-have.</w:t>
      </w:r>
    </w:p>
    <w:p>
      <w:pPr>
        <w:spacing w:after="120" w:line="300"/>
      </w:pPr>
      <w:r>
        <w:rPr>
          <w:b/>
          <w:bCs/>
        </w:rPr>
        <w:t xml:space="preserve">Solution: </w:t>
      </w:r>
      <w:r>
        <w:t xml:space="preserve">Extend the existing Audit Log to capture every state-changing admin action platform-wide: visibility-tier changes (locked / partially open / fully open), fraud-flag resolutions, signed-agreement generation, and team-management bulk actions — each entry immutable, timestamped, and attributed to a named admin.</w:t>
      </w:r>
    </w:p>
    <w:p>
      <w:pPr>
        <w:spacing w:after="60" w:before="60"/>
      </w:pPr>
      <w:r>
        <w:rPr>
          <w:b/>
          <w:bCs/>
          <w:sz w:val="20"/>
          <w:szCs w:val="20"/>
        </w:rPr>
        <w:t xml:space="preserve">Key screens / states: </w:t>
      </w:r>
    </w:p>
    <w:p>
      <w:pPr>
        <w:pStyle w:val="ListParagraph"/>
        <w:numPr>
          <w:ilvl w:val="0"/>
          <w:numId w:val="2"/>
        </w:numPr>
        <w:spacing w:after="90" w:line="290"/>
      </w:pPr>
      <w:r>
        <w:t xml:space="preserve">Audit Log page — new event types added to the existing table (Visibility change, Fraud override, Agreement generated, Bulk action — Team).</w:t>
      </w:r>
    </w:p>
    <w:p>
      <w:pPr>
        <w:pStyle w:val="ListParagraph"/>
        <w:numPr>
          <w:ilvl w:val="0"/>
          <w:numId w:val="2"/>
        </w:numPr>
        <w:spacing w:after="90" w:line="290"/>
      </w:pPr>
      <w:r>
        <w:t xml:space="preserve">Filter and search by actor, action type, and target athlete/sponsor.</w:t>
      </w:r>
    </w:p>
    <w:p>
      <w:pPr>
        <w:pStyle w:val="ListParagraph"/>
        <w:numPr>
          <w:ilvl w:val="0"/>
          <w:numId w:val="2"/>
        </w:numPr>
        <w:spacing w:after="90" w:line="290"/>
      </w:pPr>
      <w:r>
        <w:t xml:space="preserve">Each visibility-tier change links back to the specific Admin Visibility Controls screen action that produced it (Section 4 of this PRD).</w:t>
      </w:r>
    </w:p>
    <w:p>
      <w:pPr>
        <w:pStyle w:val="ListParagraph"/>
        <w:numPr>
          <w:ilvl w:val="0"/>
          <w:numId w:val="2"/>
        </w:numPr>
        <w:spacing w:after="90" w:line="290"/>
      </w:pPr>
      <w:r>
        <w:t xml:space="preserve">Export to CSV for compliance review — the audit log is the artifact a federation or government partner would actually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Reach</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Impact</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Confidence</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Effort</w:t>
            </w:r>
          </w:p>
        </w:tc>
        <w:tc>
          <w:tcPr>
            <w:tcW w:type="dxa" w:w="1872"/>
            <w:tcBorders>
              <w:top w:val="single" w:color="D6DCE5" w:sz="2"/>
              <w:left w:val="single" w:color="D6DCE5" w:sz="2"/>
              <w:bottom w:val="single" w:color="D6DCE5" w:sz="2"/>
              <w:right w:val="single" w:color="D6DCE5" w:sz="2"/>
            </w:tcBorders>
            <w:shd w:fill="1F2937" w:val="clear"/>
            <w:tcMar>
              <w:top w:type="dxa" w:w="70"/>
              <w:left w:type="dxa" w:w="80"/>
              <w:bottom w:type="dxa" w:w="70"/>
              <w:right w:type="dxa" w:w="80"/>
            </w:tcMar>
          </w:tcPr>
          <w:p>
            <w:pPr>
              <w:jc w:val="center"/>
            </w:pPr>
            <w:r>
              <w:rPr>
                <w:b/>
                <w:bCs/>
                <w:color w:val="FFFFFF"/>
                <w:sz w:val="17"/>
                <w:szCs w:val="17"/>
              </w:rPr>
              <w:t xml:space="preserve">RICE score</w:t>
            </w:r>
          </w:p>
        </w:tc>
      </w:tr>
      <w:tr>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Low</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High</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High</w:t>
            </w:r>
          </w:p>
        </w:tc>
        <w:tc>
          <w:tcPr>
            <w:tcW w:type="dxa" w:w="1872"/>
            <w:tcBorders>
              <w:top w:val="single" w:color="D6DCE5" w:sz="2"/>
              <w:left w:val="single" w:color="D6DCE5" w:sz="2"/>
              <w:bottom w:val="single" w:color="D6DCE5" w:sz="2"/>
              <w:right w:val="single" w:color="D6DCE5" w:sz="2"/>
            </w:tcBorders>
            <w:shd w:fill="FFFFFF" w:val="clear"/>
            <w:tcMar>
              <w:top w:type="dxa" w:w="70"/>
              <w:left w:type="dxa" w:w="80"/>
              <w:bottom w:type="dxa" w:w="70"/>
              <w:right w:type="dxa" w:w="80"/>
            </w:tcMar>
          </w:tcPr>
          <w:p>
            <w:pPr>
              <w:jc w:val="center"/>
            </w:pPr>
            <w:r>
              <w:rPr>
                <w:b w:val="false"/>
                <w:bCs w:val="false"/>
                <w:color w:val="111827"/>
                <w:sz w:val="19"/>
                <w:szCs w:val="19"/>
              </w:rPr>
              <w:t xml:space="preserve">Low</w:t>
            </w:r>
          </w:p>
        </w:tc>
        <w:tc>
          <w:tcPr>
            <w:tcW w:type="dxa" w:w="1872"/>
            <w:tcBorders>
              <w:top w:val="single" w:color="D6DCE5" w:sz="2"/>
              <w:left w:val="single" w:color="D6DCE5" w:sz="2"/>
              <w:bottom w:val="single" w:color="D6DCE5" w:sz="2"/>
              <w:right w:val="single" w:color="D6DCE5" w:sz="2"/>
            </w:tcBorders>
            <w:shd w:fill="FDF3E2" w:val="clear"/>
            <w:tcMar>
              <w:top w:type="dxa" w:w="70"/>
              <w:left w:type="dxa" w:w="80"/>
              <w:bottom w:type="dxa" w:w="70"/>
              <w:right w:type="dxa" w:w="80"/>
            </w:tcMar>
          </w:tcPr>
          <w:p>
            <w:pPr>
              <w:jc w:val="center"/>
            </w:pPr>
            <w:r>
              <w:rPr>
                <w:b/>
                <w:bCs/>
                <w:color w:val="78350F"/>
                <w:sz w:val="19"/>
                <w:szCs w:val="19"/>
              </w:rPr>
              <w:t xml:space="preserve">6.8</w:t>
            </w:r>
          </w:p>
        </w:tc>
      </w:tr>
    </w:tbl>
    <w:p>
      <w:r>
        <w:br w:type="page"/>
      </w:r>
    </w:p>
    <w:p>
      <w:pPr>
        <w:pStyle w:val="Heading1"/>
      </w:pPr>
      <w:r>
        <w:t xml:space="preserve">4. How the Prototype Handles Sponsor Restrictions</w:t>
      </w:r>
    </w:p>
    <w:p>
      <w:pPr>
        <w:spacing w:after="160" w:line="300"/>
      </w:pPr>
      <w:r>
        <w:t xml:space="preserve">This was the part of the original brief worth the most thought, so the logic is stated explicitly here rather than left implicit in the screens. It is unchanged in substance by this revision, but now intersects with two new features: document signing (Section 3.2) and team management (Section 3.6).</w:t>
      </w:r>
    </w:p>
    <w:p>
      <w:pPr>
        <w:pStyle w:val="Heading2"/>
      </w:pPr>
      <w:r>
        <w:t xml:space="preserve">4.1 The conflict check is the mechanism, not just the label</w:t>
      </w:r>
    </w:p>
    <w:p>
      <w:pPr>
        <w:pStyle w:val="ListParagraph"/>
        <w:numPr>
          <w:ilvl w:val="0"/>
          <w:numId w:val="2"/>
        </w:numPr>
        <w:spacing w:after="90" w:line="290"/>
      </w:pPr>
      <w:r>
        <w:rPr>
          <w:b/>
          <w:bCs/>
        </w:rPr>
        <w:t xml:space="preserve">Brand-conflict flag — </w:t>
      </w:r>
      <w:r>
        <w:t xml:space="preserve">shown on the AI Sponsor Match screen. An athlete already sponsored by a rival apparel brand is automatically excluded from a competing apparel sponsor's match list, rather than relying on a human to remember.</w:t>
      </w:r>
    </w:p>
    <w:p>
      <w:pPr>
        <w:pStyle w:val="ListParagraph"/>
        <w:numPr>
          <w:ilvl w:val="0"/>
          <w:numId w:val="2"/>
        </w:numPr>
        <w:spacing w:after="90" w:line="290"/>
      </w:pPr>
      <w:r>
        <w:rPr>
          <w:b/>
          <w:bCs/>
        </w:rPr>
        <w:t xml:space="preserve">Government-grant overlap check — </w:t>
      </w:r>
      <w:r>
        <w:t xml:space="preserve">an athlete on a SAI/TOPS stipend is shown to corporate sponsors as eligible for ad hoc (equipment, travel) support but flagged for stipend-type requests, since double-dipping on recurring stipends is the realistic failure mode here, not one-time grants.</w:t>
      </w:r>
    </w:p>
    <w:p>
      <w:pPr>
        <w:pStyle w:val="ListParagraph"/>
        <w:numPr>
          <w:ilvl w:val="0"/>
          <w:numId w:val="2"/>
        </w:numPr>
        <w:spacing w:after="90" w:line="290"/>
      </w:pPr>
      <w:r>
        <w:rPr>
          <w:b/>
          <w:bCs/>
        </w:rPr>
        <w:t xml:space="preserve">Contract-expiry tracking — </w:t>
      </w:r>
      <w:r>
        <w:t xml:space="preserve">in the Admin Visibility Controls screen, so a “locked” athlete automatically becomes a renewal candidate (not silently reopened) when a program ends. With document signing now in place (3.2), expiry can be tied directly to the signed agreement's end date rather than a manually entered field.</w:t>
      </w:r>
    </w:p>
    <w:p>
      <w:pPr>
        <w:spacing w:after="160" w:line="300"/>
      </w:pPr>
      <w:r>
        <w:t xml:space="preserve">This is implemented as static, illustrative state in the current prototype — there is no real conflict-detection engine running. The honest framing is that this table is the spec for that engine, and the screens show what a human (admin or sponsor) would see once it exists.</w:t>
      </w:r>
    </w:p>
    <w:p>
      <w:pPr>
        <w:pStyle w:val="Heading2"/>
      </w:pPr>
      <w:r>
        <w:t xml:space="preserve">4.2 Where Team Management intersects this logic</w:t>
      </w:r>
    </w:p>
    <w:p>
      <w:pPr>
        <w:spacing w:after="160" w:line="300"/>
      </w:pPr>
      <w:r>
        <w:t xml:space="preserve">An academy or federation managing 40 athletes does not get sponsor-level visibility into funding amounts or conflict details by default — that stays Admin- and Sponsor-scoped. What Team Management does surface is verification and readiness status across the roster, so an academy can chase missing documents without ever seeing what a specific sponsor offered a specific athlete. This boundary is intentional and mirrors the existing principle below.</w:t>
      </w:r>
    </w:p>
    <w:p>
      <w:pPr>
        <w:pStyle w:val="Heading2"/>
      </w:pPr>
      <w:r>
        <w:t xml:space="preserve">4.3 Admins, not sponsors (or teams), control visibility</w:t>
      </w:r>
    </w:p>
    <w:p>
      <w:pPr>
        <w:spacing w:after="160" w:line="300"/>
      </w:pPr>
      <w:r>
        <w:t xml:space="preserve">If sponsors could mark athletes as “locked” themselves, an aggressive sponsor could lock out a large pool of athletes from competitors without Acrophase being able to mediate. The same reasoning extends to the new Team role: an academy cannot set or override an athlete's sponsorship tier, even for its own roster. The visibility-control screen lives only in the Admin Portal.</w:t>
      </w:r>
    </w:p>
    <w:p>
      <w:r>
        <w:br w:type="page"/>
      </w:r>
    </w:p>
    <w:p>
      <w:pPr>
        <w:pStyle w:val="Heading1"/>
      </w:pPr>
      <w:r>
        <w:t xml:space="preserve">5. Key Assumptions</w:t>
      </w:r>
    </w:p>
    <w:p>
      <w:pPr>
        <w:pStyle w:val="ListParagraph"/>
        <w:numPr>
          <w:ilvl w:val="0"/>
          <w:numId w:val="2"/>
        </w:numPr>
        <w:spacing w:after="90" w:line="290"/>
      </w:pPr>
      <w:r>
        <w:rPr>
          <w:b/>
          <w:bCs/>
        </w:rPr>
        <w:t xml:space="preserve">Aadhaar OTP verification is simulated. </w:t>
      </w:r>
      <w:r>
        <w:t xml:space="preserve">A real build would use a licensed Aadhaar e-KYC provider (e.g. a UIDAI-authorized KUA/AUA partner) rather than handling Aadhaar numbers directly — this is a regulatory requirement, not a design choice, so the prototype treats it as a black-box step.</w:t>
      </w:r>
    </w:p>
    <w:p>
      <w:pPr>
        <w:pStyle w:val="ListParagraph"/>
        <w:numPr>
          <w:ilvl w:val="0"/>
          <w:numId w:val="2"/>
        </w:numPr>
        <w:spacing w:after="90" w:line="290"/>
      </w:pPr>
      <w:r>
        <w:rPr>
          <w:b/>
          <w:bCs/>
        </w:rPr>
        <w:t xml:space="preserve">Sponsors are organisations, not individuals, for v1. </w:t>
      </w:r>
      <w:r>
        <w:t xml:space="preserve">Crowdfunding from individual public donors is a later-phase extension of the “fully open” tier, not part of the first release — it introduces payment, tax-receipt, and fraud surface area that a B2B sponsor flow doesn't have.</w:t>
      </w:r>
    </w:p>
    <w:p>
      <w:pPr>
        <w:pStyle w:val="ListParagraph"/>
        <w:numPr>
          <w:ilvl w:val="0"/>
          <w:numId w:val="2"/>
        </w:numPr>
        <w:spacing w:after="90" w:line="290"/>
      </w:pPr>
      <w:r>
        <w:rPr>
          <w:b/>
          <w:bCs/>
        </w:rPr>
        <w:t xml:space="preserve">Trust Score and Sponsorship Readiness are two different numbers. </w:t>
      </w:r>
      <w:r>
        <w:t xml:space="preserve">Trust Score reflects identity/credibility (verification, endorsement, document completeness). Readiness reflects whether a sponsor would currently fund the athlete (Trust Score plus sport-specific factors like upcoming competition timing). Conflating them would make the score harder to explain to both athletes and sponsors.</w:t>
      </w:r>
    </w:p>
    <w:p>
      <w:pPr>
        <w:pStyle w:val="ListParagraph"/>
        <w:numPr>
          <w:ilvl w:val="0"/>
          <w:numId w:val="2"/>
        </w:numPr>
        <w:spacing w:after="90" w:line="290"/>
      </w:pPr>
      <w:r>
        <w:rPr>
          <w:b/>
          <w:bCs/>
        </w:rPr>
        <w:t xml:space="preserve">One athlete belongs to exactly one access tier at a time, </w:t>
      </w:r>
      <w:r>
        <w:t xml:space="preserve">but the tier is a platform-level field, not a per-sponsor setting — mixed states (locked to Sponsor A, partially open to everyone else) create exactly the conflict-of-interest problems the brief warns about.</w:t>
      </w:r>
    </w:p>
    <w:p>
      <w:pPr>
        <w:pStyle w:val="ListParagraph"/>
        <w:numPr>
          <w:ilvl w:val="0"/>
          <w:numId w:val="2"/>
        </w:numPr>
        <w:spacing w:after="90" w:line="290"/>
      </w:pPr>
      <w:r>
        <w:rPr>
          <w:b/>
          <w:bCs/>
        </w:rPr>
        <w:t xml:space="preserve">Document signing replaces email PDFs, not legal counsel. </w:t>
      </w:r>
      <w:r>
        <w:t xml:space="preserve">In-app e-signing (3.2) is binding for the purposes of the platform's own funding workflow; it does not replace a sponsor's or federation's own legal review process for high-value, multi-year agreements.</w:t>
      </w:r>
    </w:p>
    <w:p>
      <w:pPr>
        <w:pStyle w:val="ListParagraph"/>
        <w:numPr>
          <w:ilvl w:val="0"/>
          <w:numId w:val="2"/>
        </w:numPr>
        <w:spacing w:after="90" w:line="290"/>
      </w:pPr>
      <w:r>
        <w:rPr>
          <w:b/>
          <w:bCs/>
        </w:rPr>
        <w:t xml:space="preserve">Calendar sync is one-way at launch. </w:t>
      </w:r>
      <w:r>
        <w:t xml:space="preserve">UAI pushes events out; it does not yet pull busy/free status back in. Promising two-way sync before it exists would create silent scheduling conflicts, which is worse than no sync at all.</w:t>
      </w:r>
    </w:p>
    <w:p>
      <w:r>
        <w:br w:type="page"/>
      </w:r>
    </w:p>
    <w:p>
      <w:pPr>
        <w:pStyle w:val="Heading1"/>
      </w:pPr>
      <w:r>
        <w:t xml:space="preserve">6. What to Build First</w:t>
      </w:r>
    </w:p>
    <w:p>
      <w:pPr>
        <w:spacing w:after="160" w:line="300"/>
      </w:pPr>
      <w:r>
        <w:t xml:space="preserve">Not everything in the prototype — original or this revision — belongs in a real v1. The instinct with a prototype like this is to show everything that could matter; the honest answer to “what would you build first” is narrower.</w:t>
      </w:r>
    </w:p>
    <w:p>
      <w:pPr>
        <w:pStyle w:val="Heading2"/>
      </w:pPr>
      <w:r>
        <w:t xml:space="preserve">6.1 Original core (unchanged)</w:t>
      </w:r>
    </w:p>
    <w:p>
      <w:pPr>
        <w:pStyle w:val="ListParagraph"/>
        <w:numPr>
          <w:ilvl w:val="0"/>
          <w:numId w:val="3"/>
        </w:numPr>
        <w:spacing w:after="90" w:line="290"/>
      </w:pPr>
      <w:r>
        <w:t xml:space="preserve">Identity verification, end to end.</w:t>
      </w:r>
    </w:p>
    <w:p>
      <w:pPr>
        <w:pStyle w:val="ListParagraph"/>
        <w:numPr>
          <w:ilvl w:val="0"/>
          <w:numId w:val="3"/>
        </w:numPr>
        <w:spacing w:after="90" w:line="290"/>
      </w:pPr>
      <w:r>
        <w:t xml:space="preserve">One support-request category working fully with one real sponsor.</w:t>
      </w:r>
    </w:p>
    <w:p>
      <w:pPr>
        <w:pStyle w:val="ListParagraph"/>
        <w:numPr>
          <w:ilvl w:val="0"/>
          <w:numId w:val="3"/>
        </w:numPr>
        <w:spacing w:after="90" w:line="290"/>
      </w:pPr>
      <w:r>
        <w:t xml:space="preserve">A way for an admin to say “this athlete is locked / open” — and have it actually restrict discovery.</w:t>
      </w:r>
    </w:p>
    <w:p>
      <w:pPr>
        <w:pStyle w:val="Heading2"/>
      </w:pPr>
      <w:r>
        <w:t xml:space="preserve">6.2 From this revision, in order of leverage</w:t>
      </w:r>
    </w:p>
    <w:p>
      <w:pPr>
        <w:pStyle w:val="ListParagraph"/>
        <w:numPr>
          <w:ilvl w:val="0"/>
          <w:numId w:val="3"/>
        </w:numPr>
        <w:spacing w:after="90" w:line="290"/>
      </w:pPr>
      <w:r>
        <w:t xml:space="preserve">Notification Center (3.3) — lowest effort, immediately reduces missed deadlines on the core flow above.</w:t>
      </w:r>
    </w:p>
    <w:p>
      <w:pPr>
        <w:pStyle w:val="ListParagraph"/>
        <w:numPr>
          <w:ilvl w:val="0"/>
          <w:numId w:val="3"/>
        </w:numPr>
        <w:spacing w:after="90" w:line="290"/>
      </w:pPr>
      <w:r>
        <w:t xml:space="preserve">Public portfolio URLs (3.5) — low effort, directly increases the value of identity verification by making it shareable.</w:t>
      </w:r>
    </w:p>
    <w:p>
      <w:pPr>
        <w:pStyle w:val="ListParagraph"/>
        <w:numPr>
          <w:ilvl w:val="0"/>
          <w:numId w:val="3"/>
        </w:numPr>
        <w:spacing w:after="90" w:line="290"/>
      </w:pPr>
      <w:r>
        <w:t xml:space="preserve">Document signing (3.2) — turns “approved” into something legally real, which the funding lifecycle currently lacks.</w:t>
      </w:r>
    </w:p>
    <w:p>
      <w:pPr>
        <w:pStyle w:val="ListParagraph"/>
        <w:numPr>
          <w:ilvl w:val="0"/>
          <w:numId w:val="3"/>
        </w:numPr>
        <w:spacing w:after="90" w:line="290"/>
      </w:pPr>
      <w:r>
        <w:t xml:space="preserve">Live chat (3.1) — meaningfully reduces sponsor effort, the recurring theme across nearly every prior feature decision.</w:t>
      </w:r>
    </w:p>
    <w:p>
      <w:pPr>
        <w:pStyle w:val="ListParagraph"/>
        <w:numPr>
          <w:ilvl w:val="0"/>
          <w:numId w:val="3"/>
        </w:numPr>
        <w:spacing w:after="90" w:line="290"/>
      </w:pPr>
      <w:r>
        <w:t xml:space="preserve">Admin audit logs, platform-wide (3.7) — should track pace with whichever of the above ships first, not trail behind it.</w:t>
      </w:r>
    </w:p>
    <w:p>
      <w:pPr>
        <w:pStyle w:val="ListParagraph"/>
        <w:numPr>
          <w:ilvl w:val="0"/>
          <w:numId w:val="3"/>
        </w:numPr>
        <w:spacing w:after="90" w:line="290"/>
      </w:pPr>
      <w:r>
        <w:t xml:space="preserve">Calendar sync (3.4) and Team management (3.6) — highest effort relative to reach; sequence after the above are validated with real users.</w:t>
      </w:r>
    </w:p>
    <w:p>
      <w:pPr>
        <w:spacing w:after="160" w:line="300"/>
      </w:pPr>
      <w:r>
        <w:t xml:space="preserve">Almost everything else — Wallet, Passport, CRM, Career Hub, the full Human Performance pillar — is leverage on top of this core, not a precondition for it.</w:t>
      </w:r>
    </w:p>
    <w:p>
      <w:pPr>
        <w:pStyle w:val="Heading1"/>
      </w:pPr>
      <w:r>
        <w:t xml:space="preserve">7. What to Validate Before Building</w:t>
      </w:r>
    </w:p>
    <w:p>
      <w:pPr>
        <w:pStyle w:val="ListParagraph"/>
        <w:numPr>
          <w:ilvl w:val="0"/>
          <w:numId w:val="2"/>
        </w:numPr>
        <w:spacing w:after="90" w:line="290"/>
      </w:pPr>
      <w:r>
        <w:t xml:space="preserve">Whether “partially open” restrictions are typically category-based (e.g. no competing apparel brands) or amount-based (e.g. sponsor caps total annual support) — the prototype assumes category, but real program agreements may differ.</w:t>
      </w:r>
    </w:p>
    <w:p>
      <w:pPr>
        <w:pStyle w:val="ListParagraph"/>
        <w:numPr>
          <w:ilvl w:val="0"/>
          <w:numId w:val="2"/>
        </w:numPr>
        <w:spacing w:after="90" w:line="290"/>
      </w:pPr>
      <w:r>
        <w:t xml:space="preserve">Who actually initiates a “lock” — is it always sponsor-requested, or does Acrophase sometimes lock an athlete unilaterally during program negotiation? This changes who needs an interface for it.</w:t>
      </w:r>
    </w:p>
    <w:p>
      <w:pPr>
        <w:pStyle w:val="ListParagraph"/>
        <w:numPr>
          <w:ilvl w:val="0"/>
          <w:numId w:val="2"/>
        </w:numPr>
        <w:spacing w:after="90" w:line="290"/>
      </w:pPr>
      <w:r>
        <w:t xml:space="preserve">Whether smaller/public contributors are a near-term priority or a true v3 item — this materially changes how much payment and compliance infrastructure needs to exist before the first sponsor pilot.</w:t>
      </w:r>
    </w:p>
    <w:p>
      <w:pPr>
        <w:pStyle w:val="ListParagraph"/>
        <w:numPr>
          <w:ilvl w:val="0"/>
          <w:numId w:val="2"/>
        </w:numPr>
        <w:spacing w:after="90" w:line="290"/>
      </w:pPr>
      <w:r>
        <w:t xml:space="preserve">Whether academies/federations (Team role, 3.6) would actually use a bulk-verification tool, or whether each athlete genuinely self-serves — worth a handful of user interviews before building the full roster UI.</w:t>
      </w:r>
    </w:p>
    <w:p>
      <w:pPr>
        <w:pStyle w:val="ListParagraph"/>
        <w:numPr>
          <w:ilvl w:val="0"/>
          <w:numId w:val="2"/>
        </w:numPr>
        <w:spacing w:after="90" w:line="290"/>
      </w:pPr>
      <w:r>
        <w:t xml:space="preserve">Legal sign-off on in-app e-signing (3.2) as binding for sponsorship amounts above a to-be-defined threshold — likely needs a real e-signature provider integration (e.g. DocuSign/Aadhaar eSign) rather than a captured signature image, beyond a certain contract value.</w:t>
      </w:r>
    </w:p>
    <w:p>
      <w:r>
        <w:br w:type="page"/>
      </w:r>
    </w:p>
    <w:p>
      <w:pPr>
        <w:pStyle w:val="Heading1"/>
      </w:pPr>
      <w:r>
        <w:t xml:space="preserve">8. Success Metrics</w:t>
      </w:r>
    </w:p>
    <w:p>
      <w:pPr>
        <w:pStyle w:val="Heading2"/>
      </w:pPr>
      <w:r>
        <w:t xml:space="preserve">8.1 North Star</w:t>
      </w:r>
    </w:p>
    <w:p>
      <w:pPr>
        <w:pBdr>
          <w:left w:val="single" w:color="B45309" w:sz="18" w:space="8"/>
        </w:pBdr>
        <w:shd w:fill="FDF3E2" w:val="clear"/>
        <w:spacing w:after="200" w:before="120" w:line="300"/>
        <w:ind w:left="360"/>
      </w:pPr>
      <w:r>
        <w:rPr>
          <w:i/>
          <w:iCs/>
          <w:color w:val="78350F"/>
        </w:rPr>
        <w:t xml:space="preserve">Verified athletes successfully funded.</w:t>
      </w:r>
    </w:p>
    <w:p>
      <w:pPr>
        <w:pStyle w:val="Heading2"/>
      </w:pPr>
      <w:r>
        <w:t xml:space="preserve">8.2 Supporting metrics</w:t>
      </w:r>
    </w:p>
    <w:p>
      <w:pPr>
        <w:pStyle w:val="ListParagraph"/>
        <w:numPr>
          <w:ilvl w:val="0"/>
          <w:numId w:val="2"/>
        </w:numPr>
        <w:spacing w:after="90" w:line="290"/>
      </w:pPr>
      <w:r>
        <w:t xml:space="preserve">Verification completion rate (started → fully verified)</w:t>
      </w:r>
    </w:p>
    <w:p>
      <w:pPr>
        <w:pStyle w:val="ListParagraph"/>
        <w:numPr>
          <w:ilvl w:val="0"/>
          <w:numId w:val="2"/>
        </w:numPr>
        <w:spacing w:after="90" w:line="290"/>
      </w:pPr>
      <w:r>
        <w:t xml:space="preserve">Profile / portfolio completion rate</w:t>
      </w:r>
    </w:p>
    <w:p>
      <w:pPr>
        <w:pStyle w:val="ListParagraph"/>
        <w:numPr>
          <w:ilvl w:val="0"/>
          <w:numId w:val="2"/>
        </w:numPr>
        <w:spacing w:after="90" w:line="290"/>
      </w:pPr>
      <w:r>
        <w:t xml:space="preserve">Trust Score improvement velocity</w:t>
      </w:r>
    </w:p>
    <w:p>
      <w:pPr>
        <w:pStyle w:val="ListParagraph"/>
        <w:numPr>
          <w:ilvl w:val="0"/>
          <w:numId w:val="2"/>
        </w:numPr>
        <w:spacing w:after="90" w:line="290"/>
      </w:pPr>
      <w:r>
        <w:t xml:space="preserve">Funding conversion (request → disbursed → utilization-proof closed)</w:t>
      </w:r>
    </w:p>
    <w:p>
      <w:pPr>
        <w:pStyle w:val="ListParagraph"/>
        <w:numPr>
          <w:ilvl w:val="0"/>
          <w:numId w:val="2"/>
        </w:numPr>
        <w:spacing w:after="90" w:line="290"/>
      </w:pPr>
      <w:r>
        <w:t xml:space="preserve">Sponsor retention and renewal rate</w:t>
      </w:r>
    </w:p>
    <w:p>
      <w:pPr>
        <w:pStyle w:val="ListParagraph"/>
        <w:numPr>
          <w:ilvl w:val="0"/>
          <w:numId w:val="2"/>
        </w:numPr>
        <w:spacing w:after="90" w:line="290"/>
      </w:pPr>
      <w:r>
        <w:t xml:space="preserve">Message response time, athlete ↔ sponsor (new, from 3.1)</w:t>
      </w:r>
    </w:p>
    <w:p>
      <w:pPr>
        <w:pStyle w:val="ListParagraph"/>
        <w:numPr>
          <w:ilvl w:val="0"/>
          <w:numId w:val="2"/>
        </w:numPr>
        <w:spacing w:after="90" w:line="290"/>
      </w:pPr>
      <w:r>
        <w:t xml:space="preserve">Time from “approved” to “signed” on funding agreements (new, from 3.2)</w:t>
      </w:r>
    </w:p>
    <w:p>
      <w:pPr>
        <w:pStyle w:val="ListParagraph"/>
        <w:numPr>
          <w:ilvl w:val="0"/>
          <w:numId w:val="2"/>
        </w:numPr>
        <w:spacing w:after="90" w:line="290"/>
      </w:pPr>
      <w:r>
        <w:t xml:space="preserve">Public portfolio link click-through and resulting sponsor inquiries (new, from 3.5)</w:t>
      </w:r>
    </w:p>
    <w:p>
      <w:pPr>
        <w:pStyle w:val="ListParagraph"/>
        <w:numPr>
          <w:ilvl w:val="0"/>
          <w:numId w:val="2"/>
        </w:numPr>
        <w:spacing w:after="90" w:line="290"/>
      </w:pPr>
      <w:r>
        <w:t xml:space="preserve">Admin audit log coverage — % of state-changing actions captured (new, from 3.7)</w:t>
      </w:r>
    </w:p>
    <w:p>
      <w:pPr>
        <w:spacing w:before="400"/>
        <w:jc w:val="center"/>
      </w:pPr>
      <w:r>
        <w:rPr>
          <w:i/>
          <w:iCs/>
          <w:color w:val="475569"/>
          <w:sz w:val="18"/>
          <w:szCs w:val="18"/>
        </w:rPr>
        <w:t xml:space="preserve">— End of document —</w:t>
      </w:r>
    </w:p>
    <w:sectPr>
      <w:headerReference w:type="default" r:id="rId7"/>
      <w:footerReference w:type="default" r:id="rId8"/>
      <w:pgSz w:w="12240" w:h="15840"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5" w:sz="4" w:space="4"/>
      </w:pBdr>
      <w:tabs>
        <w:tab w:val="right" w:pos="9026"/>
      </w:tabs>
    </w:pPr>
    <w:r>
      <w:rPr>
        <w:color w:val="475569"/>
        <w:sz w:val="16"/>
        <w:szCs w:val="16"/>
      </w:rPr>
      <w:t xml:space="preserve">Acrophase · Confidential prototype documentation</w:t>
    </w:r>
    <w:r>
      <w:rPr>
        <w:color w:val="475569"/>
        <w:sz w:val="16"/>
        <w:szCs w:val="16"/>
      </w:rPr>
      <w:t xml:space="preserve">	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CE5" w:sz="4" w:space="4"/>
      </w:pBdr>
      <w:tabs>
        <w:tab w:val="right" w:pos="9026"/>
      </w:tabs>
    </w:pPr>
    <w:r>
      <w:rPr>
        <w:color w:val="475569"/>
        <w:sz w:val="16"/>
        <w:szCs w:val="16"/>
      </w:rPr>
      <w:t xml:space="preserve">UAI — Unified Athlete Interface</w:t>
    </w:r>
    <w:r>
      <w:rPr>
        <w:color w:val="475569"/>
        <w:sz w:val="16"/>
        <w:szCs w:val="16"/>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20"/>
      </w:pPr>
      <w:rPr>
        <w:color w:val="78350F"/>
      </w:rPr>
    </w:lvl>
    <w:lvl w:ilvl="1" w15:tentative="1">
      <w:start w:val="1"/>
      <w:numFmt w:val="bullet"/>
      <w:lvlText w:val="·"/>
      <w:lvlJc w:val="left"/>
      <w:pPr>
        <w:ind w:left="940" w:hanging="320"/>
      </w:pPr>
    </w:lvl>
  </w:abstractNum>
  <w:abstractNum w:abstractNumId="3"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5309" w:sz="8" w:space="4"/>
      </w:pBdr>
      <w:spacing w:after="200" w:before="420"/>
      <w:outlineLvl w:val="0"/>
    </w:pPr>
    <w:rPr>
      <w:rFonts w:ascii="Calibri" w:cs="Calibri" w:eastAsia="Calibri" w:hAnsi="Calibri"/>
      <w:b/>
      <w:bCs/>
      <w:color w:val="78350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11827"/>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78350F"/>
      <w:sz w:val="23"/>
      <w:szCs w:val="23"/>
    </w:rPr>
  </w:style>
  <w:style w:type="paragraph" w:styleId="Title">
    <w:name w:val="Title"/>
    <w:basedOn w:val="Normal"/>
    <w:next w:val="Normal"/>
    <w:qFormat/>
    <w:pPr>
      <w:spacing w:after="80"/>
    </w:pPr>
    <w:rPr>
      <w:rFonts w:ascii="Calibri" w:cs="Calibri" w:eastAsia="Calibri" w:hAnsi="Calibri"/>
      <w:b/>
      <w:bCs/>
      <w:color w:val="111827"/>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2026-06-30T10:08:46.370Z</dcterms:created>
  <dcterms:modified xsi:type="dcterms:W3CDTF">2026-06-30T10:08:46.371Z</dcterms:modified>
</cp:coreProperties>
</file>

<file path=docProps/custom.xml><?xml version="1.0" encoding="utf-8"?>
<Properties xmlns="http://schemas.openxmlformats.org/officeDocument/2006/custom-properties" xmlns:vt="http://schemas.openxmlformats.org/officeDocument/2006/docPropsVTypes"/>
</file>