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FBD49" w14:textId="77777777" w:rsidR="00600B80" w:rsidRDefault="00000000">
      <w:pPr>
        <w:spacing w:after="120"/>
      </w:pPr>
      <w:r>
        <w:rPr>
          <w:b/>
          <w:bCs/>
          <w:color w:val="1F3864"/>
          <w:sz w:val="44"/>
          <w:szCs w:val="44"/>
        </w:rPr>
        <w:t>Agentic AI Assurance Framework</w:t>
      </w:r>
    </w:p>
    <w:p w14:paraId="022FBD4A" w14:textId="77777777" w:rsidR="00600B80" w:rsidRDefault="00000000">
      <w:pPr>
        <w:spacing w:after="400"/>
      </w:pPr>
      <w:r>
        <w:rPr>
          <w:i/>
          <w:iCs/>
          <w:color w:val="444444"/>
          <w:sz w:val="26"/>
          <w:szCs w:val="26"/>
        </w:rPr>
        <w:t>A Domain-Agnostic Risk Assessment &amp; Conformity Methodology for Autonomous AI Agents</w:t>
      </w:r>
    </w:p>
    <w:p w14:paraId="022FBD4B" w14:textId="77777777" w:rsidR="00600B80" w:rsidRDefault="00000000">
      <w:pPr>
        <w:spacing w:after="160"/>
      </w:pPr>
      <w:r>
        <w:rPr>
          <w:i/>
          <w:iCs/>
          <w:color w:val="666666"/>
          <w:sz w:val="18"/>
          <w:szCs w:val="18"/>
        </w:rPr>
        <w:t xml:space="preserve">Version </w:t>
      </w:r>
      <w:proofErr w:type="gramStart"/>
      <w:r>
        <w:rPr>
          <w:i/>
          <w:iCs/>
          <w:color w:val="666666"/>
          <w:sz w:val="18"/>
          <w:szCs w:val="18"/>
        </w:rPr>
        <w:t>1.0  |</w:t>
      </w:r>
      <w:proofErr w:type="gramEnd"/>
      <w:r>
        <w:rPr>
          <w:i/>
          <w:iCs/>
          <w:color w:val="666666"/>
          <w:sz w:val="18"/>
          <w:szCs w:val="18"/>
        </w:rPr>
        <w:t xml:space="preserve">  Prepared as a reusable AI governance, risk, and assurance methodology, illustrated with one worked example (a generic internal enterprise agent). Companion documents: Risk Classification Worksheet, Threat &amp; Test Case Matrix, Risk Register, EU AI Act Conformity Gap Assessment, and How-to-Apply Guide.</w:t>
      </w:r>
    </w:p>
    <w:p w14:paraId="022FBD4C" w14:textId="77777777" w:rsidR="00600B80" w:rsidRDefault="00000000">
      <w:pPr>
        <w:pStyle w:val="Heading1"/>
        <w:spacing w:before="320" w:after="160"/>
      </w:pPr>
      <w:r>
        <w:t>1. Purpose</w:t>
      </w:r>
    </w:p>
    <w:p w14:paraId="022FBD4D" w14:textId="77777777" w:rsidR="00600B80" w:rsidRDefault="00000000">
      <w:pPr>
        <w:spacing w:after="160"/>
      </w:pPr>
      <w:r>
        <w:t xml:space="preserve">This framework defines a repeatable methodology for assessing and assuring agentic AI systems - AI systems that can plan, call tools, and take actions with limited human involvement - regardless of the business domain in which they are deployed. It is built to be applied by an AI governance, risk, or assurance function across many different agents (a support agent today, a procurement agent tomorrow) using one consistent classification scheme, threat taxonomy, </w:t>
      </w:r>
      <w:proofErr w:type="gramStart"/>
      <w:r>
        <w:t>control library</w:t>
      </w:r>
      <w:proofErr w:type="gramEnd"/>
      <w:r>
        <w:t>, and evidence standard.</w:t>
      </w:r>
    </w:p>
    <w:p w14:paraId="022FBD4E" w14:textId="77777777" w:rsidR="00600B80" w:rsidRDefault="00000000">
      <w:pPr>
        <w:spacing w:after="160"/>
      </w:pPr>
      <w:r>
        <w:t>The methodology is demonstrated once in this project against a generic, horizontal example - an internal, multi-purpose enterprise AI agent with knowledge retrieval, notification, task-creation, and data-lookup capabilities - chosen specifically because that capability set is common to agentic deployments across almost every industry, rather than being specific to any one of them.</w:t>
      </w:r>
    </w:p>
    <w:p w14:paraId="022FBD4F" w14:textId="77777777" w:rsidR="00600B80" w:rsidRDefault="00000000">
      <w:pPr>
        <w:pStyle w:val="Heading1"/>
        <w:spacing w:before="320" w:after="160"/>
      </w:pPr>
      <w:r>
        <w:t>2. Why a Domain-Agnostic Approach</w:t>
      </w:r>
    </w:p>
    <w:p w14:paraId="022FBD50" w14:textId="77777777" w:rsidR="00600B80" w:rsidRDefault="00000000">
      <w:pPr>
        <w:spacing w:after="160"/>
      </w:pPr>
      <w:r>
        <w:t xml:space="preserve">Most agentic AI risk assessments are built bottom-up for a single use case (a hiring agent, a support agent, a lending agent) and </w:t>
      </w:r>
      <w:proofErr w:type="gramStart"/>
      <w:r>
        <w:t>have to</w:t>
      </w:r>
      <w:proofErr w:type="gramEnd"/>
      <w:r>
        <w:t xml:space="preserve"> be substantially rebuilt for the next one. That approach does not scale as organizations deploy dozens of agents across different functions, and it is not how mature GRC functions typically operate - most build one central methodology and a control library, then apply it consistently across many systems, adjusting only the risk-tier-specific requirements that a given domain triggers (e.g. additional fair-lending controls for a credit agent, or additional clinical-safety controls for a health agent).</w:t>
      </w:r>
    </w:p>
    <w:p w14:paraId="022FBD51" w14:textId="77777777" w:rsidR="00600B80" w:rsidRDefault="00000000">
      <w:pPr>
        <w:spacing w:after="160"/>
      </w:pPr>
      <w:r>
        <w:t>This framework is structured the same way: a fixed classification and testing methodology (Sections 3-6), plus a short guide (companion document) on how to layer domain-specific requirements on top of it for any given agent.</w:t>
      </w:r>
    </w:p>
    <w:p w14:paraId="022FBD52" w14:textId="77777777" w:rsidR="00600B80" w:rsidRDefault="00000000">
      <w:pPr>
        <w:pStyle w:val="Heading1"/>
        <w:spacing w:before="320" w:after="160"/>
      </w:pPr>
      <w:r>
        <w:t>3. Step 1 - AI System Inventory &amp; Risk Classification</w:t>
      </w:r>
    </w:p>
    <w:p w14:paraId="022FBD53" w14:textId="77777777" w:rsidR="00600B80" w:rsidRDefault="00000000">
      <w:pPr>
        <w:spacing w:after="160"/>
      </w:pPr>
      <w:r>
        <w:t xml:space="preserve">Every agent entering the inventory is classified </w:t>
      </w:r>
      <w:proofErr w:type="gramStart"/>
      <w:r>
        <w:t>against</w:t>
      </w:r>
      <w:proofErr w:type="gramEnd"/>
      <w:r>
        <w:t xml:space="preserve"> two schemes in parallel:</w:t>
      </w:r>
    </w:p>
    <w:p w14:paraId="022FBD54" w14:textId="77777777" w:rsidR="00600B80" w:rsidRDefault="00000000">
      <w:pPr>
        <w:pStyle w:val="ListParagraph"/>
        <w:numPr>
          <w:ilvl w:val="0"/>
          <w:numId w:val="2"/>
        </w:numPr>
        <w:spacing w:after="80"/>
      </w:pPr>
      <w:r>
        <w:t>EU AI Act risk tier (Prohibited / High-Risk / Limited-Risk / Minimal-Risk), using the Annex III use-case list and the Article 6 criteria as the primary test.</w:t>
      </w:r>
    </w:p>
    <w:p w14:paraId="022FBD55" w14:textId="77777777" w:rsidR="00600B80" w:rsidRDefault="00000000">
      <w:pPr>
        <w:pStyle w:val="ListParagraph"/>
        <w:numPr>
          <w:ilvl w:val="0"/>
          <w:numId w:val="2"/>
        </w:numPr>
        <w:spacing w:after="80"/>
      </w:pPr>
      <w:r>
        <w:t>NIST AI RMF context profile (the intended purpose, deployment context, and potential impact of the system), used to scope which GOVERN/MAP/MEASURE/MANAGE activities apply.</w:t>
      </w:r>
    </w:p>
    <w:p w14:paraId="022FBD56" w14:textId="77777777" w:rsidR="00600B80" w:rsidRDefault="00000000">
      <w:pPr>
        <w:spacing w:after="160"/>
      </w:pPr>
      <w:r>
        <w:t>Classification criteria used in this framework:</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400"/>
        <w:gridCol w:w="2760"/>
      </w:tblGrid>
      <w:tr w:rsidR="00600B80" w14:paraId="022FBD5A" w14:textId="77777777">
        <w:tblPrEx>
          <w:tblCellMar>
            <w:top w:w="0" w:type="dxa"/>
            <w:bottom w:w="0" w:type="dxa"/>
          </w:tblCellMar>
        </w:tblPrEx>
        <w:tc>
          <w:tcPr>
            <w:tcW w:w="2400" w:type="dxa"/>
            <w:shd w:val="clear" w:color="auto" w:fill="1F3864"/>
          </w:tcPr>
          <w:p w14:paraId="022FBD57" w14:textId="77777777" w:rsidR="00600B80" w:rsidRDefault="00000000">
            <w:r>
              <w:rPr>
                <w:b/>
                <w:bCs/>
                <w:color w:val="FFFFFF"/>
                <w:sz w:val="18"/>
                <w:szCs w:val="18"/>
              </w:rPr>
              <w:t>Criterion</w:t>
            </w:r>
          </w:p>
        </w:tc>
        <w:tc>
          <w:tcPr>
            <w:tcW w:w="4400" w:type="dxa"/>
            <w:shd w:val="clear" w:color="auto" w:fill="1F3864"/>
          </w:tcPr>
          <w:p w14:paraId="022FBD58" w14:textId="77777777" w:rsidR="00600B80" w:rsidRDefault="00000000">
            <w:r>
              <w:rPr>
                <w:b/>
                <w:bCs/>
                <w:color w:val="FFFFFF"/>
                <w:sz w:val="18"/>
                <w:szCs w:val="18"/>
              </w:rPr>
              <w:t>Question Asked</w:t>
            </w:r>
          </w:p>
        </w:tc>
        <w:tc>
          <w:tcPr>
            <w:tcW w:w="2760" w:type="dxa"/>
            <w:shd w:val="clear" w:color="auto" w:fill="1F3864"/>
          </w:tcPr>
          <w:p w14:paraId="022FBD59" w14:textId="77777777" w:rsidR="00600B80" w:rsidRDefault="00000000">
            <w:r>
              <w:rPr>
                <w:b/>
                <w:bCs/>
                <w:color w:val="FFFFFF"/>
                <w:sz w:val="18"/>
                <w:szCs w:val="18"/>
              </w:rPr>
              <w:t>Why It Matters</w:t>
            </w:r>
          </w:p>
        </w:tc>
      </w:tr>
      <w:tr w:rsidR="00600B80" w14:paraId="022FBD5E" w14:textId="77777777">
        <w:tblPrEx>
          <w:tblCellMar>
            <w:top w:w="0" w:type="dxa"/>
            <w:bottom w:w="0" w:type="dxa"/>
          </w:tblCellMar>
        </w:tblPrEx>
        <w:tc>
          <w:tcPr>
            <w:tcW w:w="2400" w:type="dxa"/>
          </w:tcPr>
          <w:p w14:paraId="022FBD5B" w14:textId="77777777" w:rsidR="00600B80" w:rsidRDefault="00000000">
            <w:r>
              <w:rPr>
                <w:sz w:val="18"/>
                <w:szCs w:val="18"/>
              </w:rPr>
              <w:t>Autonomy level</w:t>
            </w:r>
          </w:p>
        </w:tc>
        <w:tc>
          <w:tcPr>
            <w:tcW w:w="4400" w:type="dxa"/>
          </w:tcPr>
          <w:p w14:paraId="022FBD5C" w14:textId="77777777" w:rsidR="00600B80" w:rsidRDefault="00000000">
            <w:r>
              <w:rPr>
                <w:sz w:val="18"/>
                <w:szCs w:val="18"/>
              </w:rPr>
              <w:t>Can the agent take actions (not just generate text) without a human approving each one?</w:t>
            </w:r>
          </w:p>
        </w:tc>
        <w:tc>
          <w:tcPr>
            <w:tcW w:w="2760" w:type="dxa"/>
          </w:tcPr>
          <w:p w14:paraId="022FBD5D" w14:textId="77777777" w:rsidR="00600B80" w:rsidRDefault="00000000">
            <w:r>
              <w:rPr>
                <w:sz w:val="18"/>
                <w:szCs w:val="18"/>
              </w:rPr>
              <w:t>Determines whether excessive-agency controls are in scope</w:t>
            </w:r>
          </w:p>
        </w:tc>
      </w:tr>
      <w:tr w:rsidR="00600B80" w14:paraId="022FBD62" w14:textId="77777777">
        <w:tblPrEx>
          <w:tblCellMar>
            <w:top w:w="0" w:type="dxa"/>
            <w:bottom w:w="0" w:type="dxa"/>
          </w:tblCellMar>
        </w:tblPrEx>
        <w:tc>
          <w:tcPr>
            <w:tcW w:w="2400" w:type="dxa"/>
            <w:shd w:val="clear" w:color="auto" w:fill="F2F2F2"/>
          </w:tcPr>
          <w:p w14:paraId="022FBD5F" w14:textId="77777777" w:rsidR="00600B80" w:rsidRDefault="00000000">
            <w:r>
              <w:rPr>
                <w:sz w:val="18"/>
                <w:szCs w:val="18"/>
              </w:rPr>
              <w:t>Decision impact</w:t>
            </w:r>
          </w:p>
        </w:tc>
        <w:tc>
          <w:tcPr>
            <w:tcW w:w="4400" w:type="dxa"/>
            <w:shd w:val="clear" w:color="auto" w:fill="F2F2F2"/>
          </w:tcPr>
          <w:p w14:paraId="022FBD60" w14:textId="77777777" w:rsidR="00600B80" w:rsidRDefault="00000000">
            <w:r>
              <w:rPr>
                <w:sz w:val="18"/>
                <w:szCs w:val="18"/>
              </w:rPr>
              <w:t>Could the agent's output/action materially affect a person's rights, finances, safety, employment, or access to a service?</w:t>
            </w:r>
          </w:p>
        </w:tc>
        <w:tc>
          <w:tcPr>
            <w:tcW w:w="2760" w:type="dxa"/>
            <w:shd w:val="clear" w:color="auto" w:fill="F2F2F2"/>
          </w:tcPr>
          <w:p w14:paraId="022FBD61" w14:textId="77777777" w:rsidR="00600B80" w:rsidRDefault="00000000">
            <w:r>
              <w:rPr>
                <w:sz w:val="18"/>
                <w:szCs w:val="18"/>
              </w:rPr>
              <w:t>Primary EU AI Act high-risk trigger</w:t>
            </w:r>
          </w:p>
        </w:tc>
      </w:tr>
      <w:tr w:rsidR="00600B80" w14:paraId="022FBD66" w14:textId="77777777">
        <w:tblPrEx>
          <w:tblCellMar>
            <w:top w:w="0" w:type="dxa"/>
            <w:bottom w:w="0" w:type="dxa"/>
          </w:tblCellMar>
        </w:tblPrEx>
        <w:tc>
          <w:tcPr>
            <w:tcW w:w="2400" w:type="dxa"/>
          </w:tcPr>
          <w:p w14:paraId="022FBD63" w14:textId="77777777" w:rsidR="00600B80" w:rsidRDefault="00000000">
            <w:r>
              <w:rPr>
                <w:sz w:val="18"/>
                <w:szCs w:val="18"/>
              </w:rPr>
              <w:t>Data sensitivity</w:t>
            </w:r>
          </w:p>
        </w:tc>
        <w:tc>
          <w:tcPr>
            <w:tcW w:w="4400" w:type="dxa"/>
          </w:tcPr>
          <w:p w14:paraId="022FBD64" w14:textId="77777777" w:rsidR="00600B80" w:rsidRDefault="00000000">
            <w:r>
              <w:rPr>
                <w:sz w:val="18"/>
                <w:szCs w:val="18"/>
              </w:rPr>
              <w:t>Does the agent access PII, special-category data, financial data, or confidential business data?</w:t>
            </w:r>
          </w:p>
        </w:tc>
        <w:tc>
          <w:tcPr>
            <w:tcW w:w="2760" w:type="dxa"/>
          </w:tcPr>
          <w:p w14:paraId="022FBD65" w14:textId="77777777" w:rsidR="00600B80" w:rsidRDefault="00000000">
            <w:r>
              <w:rPr>
                <w:sz w:val="18"/>
                <w:szCs w:val="18"/>
              </w:rPr>
              <w:t>Drives data-protection and logging control requirements</w:t>
            </w:r>
          </w:p>
        </w:tc>
      </w:tr>
      <w:tr w:rsidR="00600B80" w14:paraId="022FBD6A" w14:textId="77777777">
        <w:tblPrEx>
          <w:tblCellMar>
            <w:top w:w="0" w:type="dxa"/>
            <w:bottom w:w="0" w:type="dxa"/>
          </w:tblCellMar>
        </w:tblPrEx>
        <w:tc>
          <w:tcPr>
            <w:tcW w:w="2400" w:type="dxa"/>
            <w:shd w:val="clear" w:color="auto" w:fill="F2F2F2"/>
          </w:tcPr>
          <w:p w14:paraId="022FBD67" w14:textId="77777777" w:rsidR="00600B80" w:rsidRDefault="00000000">
            <w:r>
              <w:rPr>
                <w:sz w:val="18"/>
                <w:szCs w:val="18"/>
              </w:rPr>
              <w:t>Tool/action surface</w:t>
            </w:r>
          </w:p>
        </w:tc>
        <w:tc>
          <w:tcPr>
            <w:tcW w:w="4400" w:type="dxa"/>
            <w:shd w:val="clear" w:color="auto" w:fill="F2F2F2"/>
          </w:tcPr>
          <w:p w14:paraId="022FBD68" w14:textId="77777777" w:rsidR="00600B80" w:rsidRDefault="00000000">
            <w:r>
              <w:rPr>
                <w:sz w:val="18"/>
                <w:szCs w:val="18"/>
              </w:rPr>
              <w:t>What systems can the agent call (email, ticketing, payments, records, external APIs)?</w:t>
            </w:r>
          </w:p>
        </w:tc>
        <w:tc>
          <w:tcPr>
            <w:tcW w:w="2760" w:type="dxa"/>
            <w:shd w:val="clear" w:color="auto" w:fill="F2F2F2"/>
          </w:tcPr>
          <w:p w14:paraId="022FBD69" w14:textId="77777777" w:rsidR="00600B80" w:rsidRDefault="00000000">
            <w:r>
              <w:rPr>
                <w:sz w:val="18"/>
                <w:szCs w:val="18"/>
              </w:rPr>
              <w:t>Defines the technical attack surface for threat modeling</w:t>
            </w:r>
          </w:p>
        </w:tc>
      </w:tr>
      <w:tr w:rsidR="00600B80" w14:paraId="022FBD6E" w14:textId="77777777">
        <w:tblPrEx>
          <w:tblCellMar>
            <w:top w:w="0" w:type="dxa"/>
            <w:bottom w:w="0" w:type="dxa"/>
          </w:tblCellMar>
        </w:tblPrEx>
        <w:tc>
          <w:tcPr>
            <w:tcW w:w="2400" w:type="dxa"/>
          </w:tcPr>
          <w:p w14:paraId="022FBD6B" w14:textId="77777777" w:rsidR="00600B80" w:rsidRDefault="00000000">
            <w:r>
              <w:rPr>
                <w:sz w:val="18"/>
                <w:szCs w:val="18"/>
              </w:rPr>
              <w:t>Reversibility</w:t>
            </w:r>
          </w:p>
        </w:tc>
        <w:tc>
          <w:tcPr>
            <w:tcW w:w="4400" w:type="dxa"/>
          </w:tcPr>
          <w:p w14:paraId="022FBD6C" w14:textId="77777777" w:rsidR="00600B80" w:rsidRDefault="00000000">
            <w:r>
              <w:rPr>
                <w:sz w:val="18"/>
                <w:szCs w:val="18"/>
              </w:rPr>
              <w:t>Are the agent's actions easily reversible, or could they cause irreversible harm?</w:t>
            </w:r>
          </w:p>
        </w:tc>
        <w:tc>
          <w:tcPr>
            <w:tcW w:w="2760" w:type="dxa"/>
          </w:tcPr>
          <w:p w14:paraId="022FBD6D" w14:textId="77777777" w:rsidR="00600B80" w:rsidRDefault="00000000">
            <w:r>
              <w:rPr>
                <w:sz w:val="18"/>
                <w:szCs w:val="18"/>
              </w:rPr>
              <w:t>Drives human-in-the-loop and confirmation-control requirements</w:t>
            </w:r>
          </w:p>
        </w:tc>
      </w:tr>
      <w:tr w:rsidR="00600B80" w14:paraId="022FBD72" w14:textId="77777777">
        <w:tblPrEx>
          <w:tblCellMar>
            <w:top w:w="0" w:type="dxa"/>
            <w:bottom w:w="0" w:type="dxa"/>
          </w:tblCellMar>
        </w:tblPrEx>
        <w:tc>
          <w:tcPr>
            <w:tcW w:w="2400" w:type="dxa"/>
            <w:shd w:val="clear" w:color="auto" w:fill="F2F2F2"/>
          </w:tcPr>
          <w:p w14:paraId="022FBD6F" w14:textId="77777777" w:rsidR="00600B80" w:rsidRDefault="00000000">
            <w:r>
              <w:rPr>
                <w:sz w:val="18"/>
                <w:szCs w:val="18"/>
              </w:rPr>
              <w:t>Population affected</w:t>
            </w:r>
          </w:p>
        </w:tc>
        <w:tc>
          <w:tcPr>
            <w:tcW w:w="4400" w:type="dxa"/>
            <w:shd w:val="clear" w:color="auto" w:fill="F2F2F2"/>
          </w:tcPr>
          <w:p w14:paraId="022FBD70" w14:textId="77777777" w:rsidR="00600B80" w:rsidRDefault="00000000">
            <w:r>
              <w:rPr>
                <w:sz w:val="18"/>
                <w:szCs w:val="18"/>
              </w:rPr>
              <w:t>Internal employees only, or external customers/the public?</w:t>
            </w:r>
          </w:p>
        </w:tc>
        <w:tc>
          <w:tcPr>
            <w:tcW w:w="2760" w:type="dxa"/>
            <w:shd w:val="clear" w:color="auto" w:fill="F2F2F2"/>
          </w:tcPr>
          <w:p w14:paraId="022FBD71" w14:textId="77777777" w:rsidR="00600B80" w:rsidRDefault="00000000">
            <w:r>
              <w:rPr>
                <w:sz w:val="18"/>
                <w:szCs w:val="18"/>
              </w:rPr>
              <w:t>Affects transparency and notice obligations (EU AI Act Art. 13/52)</w:t>
            </w:r>
          </w:p>
        </w:tc>
      </w:tr>
    </w:tbl>
    <w:p w14:paraId="022FBD73" w14:textId="77777777" w:rsidR="00600B80" w:rsidRDefault="00000000">
      <w:pPr>
        <w:spacing w:after="160"/>
      </w:pPr>
      <w:r>
        <w:lastRenderedPageBreak/>
        <w:t>Output of this step: a completed Risk Classification Worksheet (see companion file) recording the tier, rationale, and which downstream control set applies.</w:t>
      </w:r>
    </w:p>
    <w:p w14:paraId="022FBD74" w14:textId="77777777" w:rsidR="00600B80" w:rsidRDefault="00000000">
      <w:pPr>
        <w:pStyle w:val="Heading1"/>
        <w:spacing w:before="320" w:after="160"/>
      </w:pPr>
      <w:r>
        <w:t>4. Step 2 - Threat Modeling &amp; Test Case Design</w:t>
      </w:r>
    </w:p>
    <w:p w14:paraId="022FBD75" w14:textId="77777777" w:rsidR="00600B80" w:rsidRDefault="00000000">
      <w:pPr>
        <w:spacing w:after="160"/>
      </w:pPr>
      <w:r>
        <w:t>Threats are enumerated using two aligned, industry-standard taxonomies so findings are recognizable to both security and governance audiences:</w:t>
      </w:r>
    </w:p>
    <w:p w14:paraId="022FBD76" w14:textId="77777777" w:rsidR="00600B80" w:rsidRDefault="00000000">
      <w:pPr>
        <w:pStyle w:val="ListParagraph"/>
        <w:numPr>
          <w:ilvl w:val="0"/>
          <w:numId w:val="2"/>
        </w:numPr>
        <w:spacing w:after="80"/>
      </w:pPr>
      <w:r>
        <w:t>MITRE ATLAS - adversarial tactics/techniques specific to AI systems (used for technique-level classification).</w:t>
      </w:r>
    </w:p>
    <w:p w14:paraId="022FBD77" w14:textId="77777777" w:rsidR="00600B80" w:rsidRDefault="00000000">
      <w:pPr>
        <w:pStyle w:val="ListParagraph"/>
        <w:numPr>
          <w:ilvl w:val="0"/>
          <w:numId w:val="2"/>
        </w:numPr>
        <w:spacing w:after="80"/>
      </w:pPr>
      <w:r>
        <w:t>OWASP Top 10 for LLM Applications (2025) - application-risk categorization (used for engineering-facing remediation framing).</w:t>
      </w:r>
    </w:p>
    <w:p w14:paraId="022FBD78" w14:textId="77777777" w:rsidR="00600B80" w:rsidRDefault="00000000">
      <w:pPr>
        <w:spacing w:after="160"/>
      </w:pPr>
      <w:r>
        <w:t>The framework defines a standard set of threat categories applicable to any tool-calling agent, independent of domain:</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700"/>
        <w:gridCol w:w="4365"/>
      </w:tblGrid>
      <w:tr w:rsidR="00600B80" w14:paraId="022FBD7D" w14:textId="77777777" w:rsidTr="0085040D">
        <w:tblPrEx>
          <w:tblCellMar>
            <w:top w:w="0" w:type="dxa"/>
            <w:bottom w:w="0" w:type="dxa"/>
          </w:tblCellMar>
        </w:tblPrEx>
        <w:tc>
          <w:tcPr>
            <w:tcW w:w="2600" w:type="dxa"/>
            <w:shd w:val="clear" w:color="auto" w:fill="1F3864"/>
          </w:tcPr>
          <w:p w14:paraId="022FBD79" w14:textId="77777777" w:rsidR="00600B80" w:rsidRDefault="00000000">
            <w:r>
              <w:rPr>
                <w:b/>
                <w:bCs/>
                <w:color w:val="FFFFFF"/>
                <w:sz w:val="18"/>
                <w:szCs w:val="18"/>
              </w:rPr>
              <w:t>Threat Category</w:t>
            </w:r>
          </w:p>
        </w:tc>
        <w:tc>
          <w:tcPr>
            <w:tcW w:w="1500" w:type="dxa"/>
            <w:shd w:val="clear" w:color="auto" w:fill="1F3864"/>
          </w:tcPr>
          <w:p w14:paraId="022FBD7A" w14:textId="77777777" w:rsidR="00600B80" w:rsidRDefault="00000000">
            <w:r>
              <w:rPr>
                <w:b/>
                <w:bCs/>
                <w:color w:val="FFFFFF"/>
                <w:sz w:val="18"/>
                <w:szCs w:val="18"/>
              </w:rPr>
              <w:t>MITRE ATLAS</w:t>
            </w:r>
          </w:p>
        </w:tc>
        <w:tc>
          <w:tcPr>
            <w:tcW w:w="1700" w:type="dxa"/>
            <w:shd w:val="clear" w:color="auto" w:fill="1F3864"/>
          </w:tcPr>
          <w:p w14:paraId="022FBD7B" w14:textId="77777777" w:rsidR="00600B80" w:rsidRDefault="00000000">
            <w:r>
              <w:rPr>
                <w:b/>
                <w:bCs/>
                <w:color w:val="FFFFFF"/>
                <w:sz w:val="18"/>
                <w:szCs w:val="18"/>
              </w:rPr>
              <w:t>OWASP LLM Top 10</w:t>
            </w:r>
          </w:p>
        </w:tc>
        <w:tc>
          <w:tcPr>
            <w:tcW w:w="4365" w:type="dxa"/>
            <w:shd w:val="clear" w:color="auto" w:fill="1F3864"/>
          </w:tcPr>
          <w:p w14:paraId="022FBD7C" w14:textId="77777777" w:rsidR="00600B80" w:rsidRDefault="00000000">
            <w:r>
              <w:rPr>
                <w:b/>
                <w:bCs/>
                <w:color w:val="FFFFFF"/>
                <w:sz w:val="18"/>
                <w:szCs w:val="18"/>
              </w:rPr>
              <w:t>Generic Test Pattern</w:t>
            </w:r>
          </w:p>
        </w:tc>
      </w:tr>
      <w:tr w:rsidR="00600B80" w14:paraId="022FBD82" w14:textId="77777777" w:rsidTr="0085040D">
        <w:tblPrEx>
          <w:tblCellMar>
            <w:top w:w="0" w:type="dxa"/>
            <w:bottom w:w="0" w:type="dxa"/>
          </w:tblCellMar>
        </w:tblPrEx>
        <w:tc>
          <w:tcPr>
            <w:tcW w:w="2600" w:type="dxa"/>
          </w:tcPr>
          <w:p w14:paraId="022FBD7E" w14:textId="77777777" w:rsidR="00600B80" w:rsidRDefault="00000000">
            <w:r>
              <w:rPr>
                <w:sz w:val="18"/>
                <w:szCs w:val="18"/>
              </w:rPr>
              <w:t>Prompt injection (direct or indirect)</w:t>
            </w:r>
          </w:p>
        </w:tc>
        <w:tc>
          <w:tcPr>
            <w:tcW w:w="1500" w:type="dxa"/>
          </w:tcPr>
          <w:p w14:paraId="022FBD7F" w14:textId="77777777" w:rsidR="00600B80" w:rsidRDefault="00000000">
            <w:r>
              <w:rPr>
                <w:sz w:val="18"/>
                <w:szCs w:val="18"/>
              </w:rPr>
              <w:t>AML.T0051</w:t>
            </w:r>
          </w:p>
        </w:tc>
        <w:tc>
          <w:tcPr>
            <w:tcW w:w="1700" w:type="dxa"/>
          </w:tcPr>
          <w:p w14:paraId="022FBD80" w14:textId="77777777" w:rsidR="00600B80" w:rsidRDefault="00000000">
            <w:r>
              <w:rPr>
                <w:sz w:val="18"/>
                <w:szCs w:val="18"/>
              </w:rPr>
              <w:t>LLM01:2025</w:t>
            </w:r>
          </w:p>
        </w:tc>
        <w:tc>
          <w:tcPr>
            <w:tcW w:w="4365" w:type="dxa"/>
          </w:tcPr>
          <w:p w14:paraId="022FBD81" w14:textId="77777777" w:rsidR="00600B80" w:rsidRDefault="00000000">
            <w:r>
              <w:rPr>
                <w:sz w:val="18"/>
                <w:szCs w:val="18"/>
              </w:rPr>
              <w:t>Insert an instruction inside content the agent will retrieve or be shown, and check whether it is followed as if it came from an authorized principal.</w:t>
            </w:r>
          </w:p>
        </w:tc>
      </w:tr>
      <w:tr w:rsidR="00600B80" w14:paraId="022FBD87" w14:textId="77777777" w:rsidTr="0085040D">
        <w:tblPrEx>
          <w:tblCellMar>
            <w:top w:w="0" w:type="dxa"/>
            <w:bottom w:w="0" w:type="dxa"/>
          </w:tblCellMar>
        </w:tblPrEx>
        <w:tc>
          <w:tcPr>
            <w:tcW w:w="2600" w:type="dxa"/>
            <w:shd w:val="clear" w:color="auto" w:fill="F2F2F2"/>
          </w:tcPr>
          <w:p w14:paraId="022FBD83" w14:textId="77777777" w:rsidR="00600B80" w:rsidRDefault="00000000">
            <w:r>
              <w:rPr>
                <w:sz w:val="18"/>
                <w:szCs w:val="18"/>
              </w:rPr>
              <w:t>Excessive agency</w:t>
            </w:r>
          </w:p>
        </w:tc>
        <w:tc>
          <w:tcPr>
            <w:tcW w:w="1500" w:type="dxa"/>
            <w:shd w:val="clear" w:color="auto" w:fill="F2F2F2"/>
          </w:tcPr>
          <w:p w14:paraId="022FBD84" w14:textId="77777777" w:rsidR="00600B80" w:rsidRDefault="00000000">
            <w:r>
              <w:rPr>
                <w:sz w:val="18"/>
                <w:szCs w:val="18"/>
              </w:rPr>
              <w:t>AML.T0048</w:t>
            </w:r>
          </w:p>
        </w:tc>
        <w:tc>
          <w:tcPr>
            <w:tcW w:w="1700" w:type="dxa"/>
            <w:shd w:val="clear" w:color="auto" w:fill="F2F2F2"/>
          </w:tcPr>
          <w:p w14:paraId="022FBD85" w14:textId="77777777" w:rsidR="00600B80" w:rsidRDefault="00000000">
            <w:r>
              <w:rPr>
                <w:sz w:val="18"/>
                <w:szCs w:val="18"/>
              </w:rPr>
              <w:t>LLM06:2025</w:t>
            </w:r>
          </w:p>
        </w:tc>
        <w:tc>
          <w:tcPr>
            <w:tcW w:w="4365" w:type="dxa"/>
            <w:shd w:val="clear" w:color="auto" w:fill="F2F2F2"/>
          </w:tcPr>
          <w:p w14:paraId="022FBD86" w14:textId="77777777" w:rsidR="00600B80" w:rsidRDefault="00000000">
            <w:r>
              <w:rPr>
                <w:sz w:val="18"/>
                <w:szCs w:val="18"/>
              </w:rPr>
              <w:t>Request a high-impact or irreversible action in a single turn and check whether it executes without a separate confirmation step.</w:t>
            </w:r>
          </w:p>
        </w:tc>
      </w:tr>
      <w:tr w:rsidR="00600B80" w14:paraId="022FBD8C" w14:textId="77777777" w:rsidTr="0085040D">
        <w:tblPrEx>
          <w:tblCellMar>
            <w:top w:w="0" w:type="dxa"/>
            <w:bottom w:w="0" w:type="dxa"/>
          </w:tblCellMar>
        </w:tblPrEx>
        <w:tc>
          <w:tcPr>
            <w:tcW w:w="2600" w:type="dxa"/>
          </w:tcPr>
          <w:p w14:paraId="022FBD88" w14:textId="77777777" w:rsidR="00600B80" w:rsidRDefault="00000000">
            <w:r>
              <w:rPr>
                <w:sz w:val="18"/>
                <w:szCs w:val="18"/>
              </w:rPr>
              <w:t>Broken authorization on tools/actions</w:t>
            </w:r>
          </w:p>
        </w:tc>
        <w:tc>
          <w:tcPr>
            <w:tcW w:w="1500" w:type="dxa"/>
          </w:tcPr>
          <w:p w14:paraId="022FBD89" w14:textId="77777777" w:rsidR="00600B80" w:rsidRDefault="00000000">
            <w:r>
              <w:rPr>
                <w:sz w:val="18"/>
                <w:szCs w:val="18"/>
              </w:rPr>
              <w:t>AML.T0024</w:t>
            </w:r>
          </w:p>
        </w:tc>
        <w:tc>
          <w:tcPr>
            <w:tcW w:w="1700" w:type="dxa"/>
          </w:tcPr>
          <w:p w14:paraId="022FBD8A" w14:textId="77777777" w:rsidR="00600B80" w:rsidRDefault="00000000">
            <w:r>
              <w:rPr>
                <w:sz w:val="18"/>
                <w:szCs w:val="18"/>
              </w:rPr>
              <w:t>LLM06:2025</w:t>
            </w:r>
          </w:p>
        </w:tc>
        <w:tc>
          <w:tcPr>
            <w:tcW w:w="4365" w:type="dxa"/>
          </w:tcPr>
          <w:p w14:paraId="022FBD8B" w14:textId="77777777" w:rsidR="00600B80" w:rsidRDefault="00000000">
            <w:r>
              <w:rPr>
                <w:sz w:val="18"/>
                <w:szCs w:val="18"/>
              </w:rPr>
              <w:t>Request data or an action belonging to a different user/scope and check whether an authorization boundary is enforced.</w:t>
            </w:r>
          </w:p>
        </w:tc>
      </w:tr>
      <w:tr w:rsidR="00600B80" w14:paraId="022FBD91" w14:textId="77777777" w:rsidTr="0085040D">
        <w:tblPrEx>
          <w:tblCellMar>
            <w:top w:w="0" w:type="dxa"/>
            <w:bottom w:w="0" w:type="dxa"/>
          </w:tblCellMar>
        </w:tblPrEx>
        <w:tc>
          <w:tcPr>
            <w:tcW w:w="2600" w:type="dxa"/>
            <w:shd w:val="clear" w:color="auto" w:fill="F2F2F2"/>
          </w:tcPr>
          <w:p w14:paraId="022FBD8D" w14:textId="77777777" w:rsidR="00600B80" w:rsidRDefault="00000000">
            <w:r>
              <w:rPr>
                <w:sz w:val="18"/>
                <w:szCs w:val="18"/>
              </w:rPr>
              <w:t>Uncontrolled data egress</w:t>
            </w:r>
          </w:p>
        </w:tc>
        <w:tc>
          <w:tcPr>
            <w:tcW w:w="1500" w:type="dxa"/>
            <w:shd w:val="clear" w:color="auto" w:fill="F2F2F2"/>
          </w:tcPr>
          <w:p w14:paraId="022FBD8E" w14:textId="77777777" w:rsidR="00600B80" w:rsidRDefault="00000000">
            <w:r>
              <w:rPr>
                <w:sz w:val="18"/>
                <w:szCs w:val="18"/>
              </w:rPr>
              <w:t>AML.T0025</w:t>
            </w:r>
          </w:p>
        </w:tc>
        <w:tc>
          <w:tcPr>
            <w:tcW w:w="1700" w:type="dxa"/>
            <w:shd w:val="clear" w:color="auto" w:fill="F2F2F2"/>
          </w:tcPr>
          <w:p w14:paraId="022FBD8F" w14:textId="77777777" w:rsidR="00600B80" w:rsidRDefault="00000000">
            <w:r>
              <w:rPr>
                <w:sz w:val="18"/>
                <w:szCs w:val="18"/>
              </w:rPr>
              <w:t>LLM06:2025</w:t>
            </w:r>
          </w:p>
        </w:tc>
        <w:tc>
          <w:tcPr>
            <w:tcW w:w="4365" w:type="dxa"/>
            <w:shd w:val="clear" w:color="auto" w:fill="F2F2F2"/>
          </w:tcPr>
          <w:p w14:paraId="022FBD90" w14:textId="77777777" w:rsidR="00600B80" w:rsidRDefault="00000000">
            <w:r>
              <w:rPr>
                <w:sz w:val="18"/>
                <w:szCs w:val="18"/>
              </w:rPr>
              <w:t>Attempt to have the agent send retrieved data to an unapproved destination and check for an egress control.</w:t>
            </w:r>
          </w:p>
        </w:tc>
      </w:tr>
      <w:tr w:rsidR="00600B80" w14:paraId="022FBD96" w14:textId="77777777" w:rsidTr="0085040D">
        <w:tblPrEx>
          <w:tblCellMar>
            <w:top w:w="0" w:type="dxa"/>
            <w:bottom w:w="0" w:type="dxa"/>
          </w:tblCellMar>
        </w:tblPrEx>
        <w:tc>
          <w:tcPr>
            <w:tcW w:w="2600" w:type="dxa"/>
          </w:tcPr>
          <w:p w14:paraId="022FBD92" w14:textId="77777777" w:rsidR="00600B80" w:rsidRDefault="00000000">
            <w:r>
              <w:rPr>
                <w:sz w:val="18"/>
                <w:szCs w:val="18"/>
              </w:rPr>
              <w:t>Insecure output handling</w:t>
            </w:r>
          </w:p>
        </w:tc>
        <w:tc>
          <w:tcPr>
            <w:tcW w:w="1500" w:type="dxa"/>
          </w:tcPr>
          <w:p w14:paraId="022FBD93" w14:textId="77777777" w:rsidR="00600B80" w:rsidRDefault="00000000">
            <w:r>
              <w:rPr>
                <w:sz w:val="18"/>
                <w:szCs w:val="18"/>
              </w:rPr>
              <w:t>AML.T0053</w:t>
            </w:r>
          </w:p>
        </w:tc>
        <w:tc>
          <w:tcPr>
            <w:tcW w:w="1700" w:type="dxa"/>
          </w:tcPr>
          <w:p w14:paraId="022FBD94" w14:textId="77777777" w:rsidR="00600B80" w:rsidRDefault="00000000">
            <w:r>
              <w:rPr>
                <w:sz w:val="18"/>
                <w:szCs w:val="18"/>
              </w:rPr>
              <w:t>LLM05:2025</w:t>
            </w:r>
          </w:p>
        </w:tc>
        <w:tc>
          <w:tcPr>
            <w:tcW w:w="4365" w:type="dxa"/>
          </w:tcPr>
          <w:p w14:paraId="022FBD95" w14:textId="77777777" w:rsidR="00600B80" w:rsidRDefault="00000000">
            <w:r>
              <w:rPr>
                <w:sz w:val="18"/>
                <w:szCs w:val="18"/>
              </w:rPr>
              <w:t>Check whether content returned by a tool or lower-trust source is sanitized before being rendered or passed downstream.</w:t>
            </w:r>
          </w:p>
        </w:tc>
      </w:tr>
      <w:tr w:rsidR="00600B80" w14:paraId="022FBD9B" w14:textId="77777777" w:rsidTr="0085040D">
        <w:tblPrEx>
          <w:tblCellMar>
            <w:top w:w="0" w:type="dxa"/>
            <w:bottom w:w="0" w:type="dxa"/>
          </w:tblCellMar>
        </w:tblPrEx>
        <w:tc>
          <w:tcPr>
            <w:tcW w:w="2600" w:type="dxa"/>
            <w:shd w:val="clear" w:color="auto" w:fill="F2F2F2"/>
          </w:tcPr>
          <w:p w14:paraId="022FBD97" w14:textId="77777777" w:rsidR="00600B80" w:rsidRDefault="00000000">
            <w:r>
              <w:rPr>
                <w:sz w:val="18"/>
                <w:szCs w:val="18"/>
              </w:rPr>
              <w:t>Sensitive data exposure via logs/telemetry</w:t>
            </w:r>
          </w:p>
        </w:tc>
        <w:tc>
          <w:tcPr>
            <w:tcW w:w="1500" w:type="dxa"/>
            <w:shd w:val="clear" w:color="auto" w:fill="F2F2F2"/>
          </w:tcPr>
          <w:p w14:paraId="022FBD98" w14:textId="77777777" w:rsidR="00600B80" w:rsidRDefault="00000000">
            <w:r>
              <w:rPr>
                <w:sz w:val="18"/>
                <w:szCs w:val="18"/>
              </w:rPr>
              <w:t>AML.T0024</w:t>
            </w:r>
          </w:p>
        </w:tc>
        <w:tc>
          <w:tcPr>
            <w:tcW w:w="1700" w:type="dxa"/>
            <w:shd w:val="clear" w:color="auto" w:fill="F2F2F2"/>
          </w:tcPr>
          <w:p w14:paraId="022FBD99" w14:textId="77777777" w:rsidR="00600B80" w:rsidRDefault="00000000">
            <w:r>
              <w:rPr>
                <w:sz w:val="18"/>
                <w:szCs w:val="18"/>
              </w:rPr>
              <w:t>LLM02:2025</w:t>
            </w:r>
          </w:p>
        </w:tc>
        <w:tc>
          <w:tcPr>
            <w:tcW w:w="4365" w:type="dxa"/>
            <w:shd w:val="clear" w:color="auto" w:fill="F2F2F2"/>
          </w:tcPr>
          <w:p w14:paraId="022FBD9A" w14:textId="77777777" w:rsidR="00600B80" w:rsidRDefault="00000000">
            <w:r>
              <w:rPr>
                <w:sz w:val="18"/>
                <w:szCs w:val="18"/>
              </w:rPr>
              <w:t>Review logs/telemetry generated during testing for unredacted personal or confidential data.</w:t>
            </w:r>
          </w:p>
        </w:tc>
      </w:tr>
    </w:tbl>
    <w:p w14:paraId="022FBD9C" w14:textId="77777777" w:rsidR="00600B80" w:rsidRDefault="00000000">
      <w:pPr>
        <w:spacing w:after="160"/>
      </w:pPr>
      <w:r>
        <w:t xml:space="preserve">Each test case is documented </w:t>
      </w:r>
      <w:proofErr w:type="gramStart"/>
      <w:r>
        <w:t>with:</w:t>
      </w:r>
      <w:proofErr w:type="gramEnd"/>
      <w:r>
        <w:t xml:space="preserve"> an ID, the threat category, the exact manual steps used to probe the agent through its normal interface, a pass/fail condition defined before testing begins, and the evidence captured (a description of the agent's response/behavior; screenshots </w:t>
      </w:r>
      <w:proofErr w:type="gramStart"/>
      <w:r>
        <w:t>where</w:t>
      </w:r>
      <w:proofErr w:type="gramEnd"/>
      <w:r>
        <w:t xml:space="preserve"> testing a live system). See the companion Threat &amp; Test Case Matrix for the fully worked example.</w:t>
      </w:r>
    </w:p>
    <w:p w14:paraId="022FBD9D" w14:textId="77777777" w:rsidR="00600B80" w:rsidRDefault="00000000">
      <w:pPr>
        <w:pStyle w:val="Heading1"/>
        <w:spacing w:before="320" w:after="160"/>
      </w:pPr>
      <w:r>
        <w:t>5. Step 3 - Control Library</w:t>
      </w:r>
    </w:p>
    <w:p w14:paraId="022FBD9E" w14:textId="77777777" w:rsidR="00600B80" w:rsidRDefault="00000000">
      <w:pPr>
        <w:spacing w:after="160"/>
      </w:pPr>
      <w:r>
        <w:t xml:space="preserve">Findings are mapped to three control </w:t>
      </w:r>
      <w:proofErr w:type="gramStart"/>
      <w:r>
        <w:t>frameworks</w:t>
      </w:r>
      <w:proofErr w:type="gramEnd"/>
      <w:r>
        <w:t xml:space="preserve"> so the assessment produces output usable by security, governance, and legal/compliance audiences simultaneously:</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960"/>
      </w:tblGrid>
      <w:tr w:rsidR="00600B80" w14:paraId="022FBDA2" w14:textId="77777777">
        <w:tblPrEx>
          <w:tblCellMar>
            <w:top w:w="0" w:type="dxa"/>
            <w:bottom w:w="0" w:type="dxa"/>
          </w:tblCellMar>
        </w:tblPrEx>
        <w:tc>
          <w:tcPr>
            <w:tcW w:w="2200" w:type="dxa"/>
            <w:shd w:val="clear" w:color="auto" w:fill="1F3864"/>
          </w:tcPr>
          <w:p w14:paraId="022FBD9F" w14:textId="77777777" w:rsidR="00600B80" w:rsidRDefault="00000000">
            <w:r>
              <w:rPr>
                <w:b/>
                <w:bCs/>
                <w:color w:val="FFFFFF"/>
                <w:sz w:val="18"/>
                <w:szCs w:val="18"/>
              </w:rPr>
              <w:t>Framework</w:t>
            </w:r>
          </w:p>
        </w:tc>
        <w:tc>
          <w:tcPr>
            <w:tcW w:w="4400" w:type="dxa"/>
            <w:shd w:val="clear" w:color="auto" w:fill="1F3864"/>
          </w:tcPr>
          <w:p w14:paraId="022FBDA0" w14:textId="77777777" w:rsidR="00600B80" w:rsidRDefault="00000000">
            <w:r>
              <w:rPr>
                <w:b/>
                <w:bCs/>
                <w:color w:val="FFFFFF"/>
                <w:sz w:val="18"/>
                <w:szCs w:val="18"/>
              </w:rPr>
              <w:t>What It Contributes</w:t>
            </w:r>
          </w:p>
        </w:tc>
        <w:tc>
          <w:tcPr>
            <w:tcW w:w="2960" w:type="dxa"/>
            <w:shd w:val="clear" w:color="auto" w:fill="1F3864"/>
          </w:tcPr>
          <w:p w14:paraId="022FBDA1" w14:textId="77777777" w:rsidR="00600B80" w:rsidRDefault="00000000">
            <w:r>
              <w:rPr>
                <w:b/>
                <w:bCs/>
                <w:color w:val="FFFFFF"/>
                <w:sz w:val="18"/>
                <w:szCs w:val="18"/>
              </w:rPr>
              <w:t>Mapping Level Used</w:t>
            </w:r>
          </w:p>
        </w:tc>
      </w:tr>
      <w:tr w:rsidR="00600B80" w14:paraId="022FBDA6" w14:textId="77777777">
        <w:tblPrEx>
          <w:tblCellMar>
            <w:top w:w="0" w:type="dxa"/>
            <w:bottom w:w="0" w:type="dxa"/>
          </w:tblCellMar>
        </w:tblPrEx>
        <w:tc>
          <w:tcPr>
            <w:tcW w:w="2200" w:type="dxa"/>
          </w:tcPr>
          <w:p w14:paraId="022FBDA3" w14:textId="77777777" w:rsidR="00600B80" w:rsidRDefault="00000000">
            <w:r>
              <w:rPr>
                <w:sz w:val="18"/>
                <w:szCs w:val="18"/>
              </w:rPr>
              <w:t>NIST AI RMF 1.0</w:t>
            </w:r>
          </w:p>
        </w:tc>
        <w:tc>
          <w:tcPr>
            <w:tcW w:w="4400" w:type="dxa"/>
          </w:tcPr>
          <w:p w14:paraId="022FBDA4" w14:textId="77777777" w:rsidR="00600B80" w:rsidRDefault="00000000">
            <w:r>
              <w:rPr>
                <w:sz w:val="18"/>
                <w:szCs w:val="18"/>
              </w:rPr>
              <w:t>Risk-function structure (Govern, Map, Measure, Manage) for organizing controls and maturity</w:t>
            </w:r>
          </w:p>
        </w:tc>
        <w:tc>
          <w:tcPr>
            <w:tcW w:w="2960" w:type="dxa"/>
          </w:tcPr>
          <w:p w14:paraId="022FBDA5" w14:textId="77777777" w:rsidR="00600B80" w:rsidRDefault="00000000">
            <w:r>
              <w:rPr>
                <w:sz w:val="18"/>
                <w:szCs w:val="18"/>
              </w:rPr>
              <w:t>Subcategory (e.g. GOVERN 1.1, MEASURE 2.7)</w:t>
            </w:r>
          </w:p>
        </w:tc>
      </w:tr>
      <w:tr w:rsidR="00600B80" w14:paraId="022FBDAA" w14:textId="77777777">
        <w:tblPrEx>
          <w:tblCellMar>
            <w:top w:w="0" w:type="dxa"/>
            <w:bottom w:w="0" w:type="dxa"/>
          </w:tblCellMar>
        </w:tblPrEx>
        <w:tc>
          <w:tcPr>
            <w:tcW w:w="2200" w:type="dxa"/>
            <w:shd w:val="clear" w:color="auto" w:fill="F2F2F2"/>
          </w:tcPr>
          <w:p w14:paraId="022FBDA7" w14:textId="77777777" w:rsidR="00600B80" w:rsidRDefault="00000000">
            <w:r>
              <w:rPr>
                <w:sz w:val="18"/>
                <w:szCs w:val="18"/>
              </w:rPr>
              <w:t>ISO/IEC 42001:2023</w:t>
            </w:r>
          </w:p>
        </w:tc>
        <w:tc>
          <w:tcPr>
            <w:tcW w:w="4400" w:type="dxa"/>
            <w:shd w:val="clear" w:color="auto" w:fill="F2F2F2"/>
          </w:tcPr>
          <w:p w14:paraId="022FBDA8" w14:textId="77777777" w:rsidR="00600B80" w:rsidRDefault="00000000">
            <w:r>
              <w:rPr>
                <w:sz w:val="18"/>
                <w:szCs w:val="18"/>
              </w:rPr>
              <w:t>Certifiable AI management system controls; the structure an audit or certification body will expect</w:t>
            </w:r>
          </w:p>
        </w:tc>
        <w:tc>
          <w:tcPr>
            <w:tcW w:w="2960" w:type="dxa"/>
            <w:shd w:val="clear" w:color="auto" w:fill="F2F2F2"/>
          </w:tcPr>
          <w:p w14:paraId="022FBDA9" w14:textId="77777777" w:rsidR="00600B80" w:rsidRDefault="00000000">
            <w:r>
              <w:rPr>
                <w:sz w:val="18"/>
                <w:szCs w:val="18"/>
              </w:rPr>
              <w:t>Annex A control (e.g. A.6.2.4, A.8.3)</w:t>
            </w:r>
          </w:p>
        </w:tc>
      </w:tr>
      <w:tr w:rsidR="00600B80" w14:paraId="022FBDAE" w14:textId="77777777">
        <w:tblPrEx>
          <w:tblCellMar>
            <w:top w:w="0" w:type="dxa"/>
            <w:bottom w:w="0" w:type="dxa"/>
          </w:tblCellMar>
        </w:tblPrEx>
        <w:tc>
          <w:tcPr>
            <w:tcW w:w="2200" w:type="dxa"/>
          </w:tcPr>
          <w:p w14:paraId="022FBDAB" w14:textId="77777777" w:rsidR="00600B80" w:rsidRDefault="00000000">
            <w:r>
              <w:rPr>
                <w:sz w:val="18"/>
                <w:szCs w:val="18"/>
              </w:rPr>
              <w:t>EU AI Act</w:t>
            </w:r>
          </w:p>
        </w:tc>
        <w:tc>
          <w:tcPr>
            <w:tcW w:w="4400" w:type="dxa"/>
          </w:tcPr>
          <w:p w14:paraId="022FBDAC" w14:textId="77777777" w:rsidR="00600B80" w:rsidRDefault="00000000">
            <w:r>
              <w:rPr>
                <w:sz w:val="18"/>
                <w:szCs w:val="18"/>
              </w:rPr>
              <w:t>Binding legal obligations for high-risk systems: risk management, human oversight, transparency, technical documentation</w:t>
            </w:r>
          </w:p>
        </w:tc>
        <w:tc>
          <w:tcPr>
            <w:tcW w:w="2960" w:type="dxa"/>
          </w:tcPr>
          <w:p w14:paraId="022FBDAD" w14:textId="77777777" w:rsidR="00600B80" w:rsidRDefault="00000000">
            <w:r>
              <w:rPr>
                <w:sz w:val="18"/>
                <w:szCs w:val="18"/>
              </w:rPr>
              <w:t>Article / Annex reference (e.g. Art. 9, Art. 14, Annex IV)</w:t>
            </w:r>
          </w:p>
        </w:tc>
      </w:tr>
    </w:tbl>
    <w:p w14:paraId="022FBDAF" w14:textId="77777777" w:rsidR="00600B80" w:rsidRDefault="00000000">
      <w:pPr>
        <w:spacing w:after="160"/>
      </w:pPr>
      <w:r>
        <w:t>This three-way mapping means a single finding (e.g. "no human confirmation before an irreversible action") is simultaneously traceable to a NIST subcategory, an ISO Annex A control, and an EU AI Act article - which is what allows one assessment to feed a certification audit, a regulator inquiry, and an internal risk committee report without being re-done three times.</w:t>
      </w:r>
    </w:p>
    <w:p w14:paraId="022FBDB0" w14:textId="77777777" w:rsidR="00600B80" w:rsidRDefault="00000000">
      <w:pPr>
        <w:pStyle w:val="Heading1"/>
        <w:spacing w:before="320" w:after="160"/>
      </w:pPr>
      <w:r>
        <w:t>6. Step 4 - Risk Register &amp; Scoring</w:t>
      </w:r>
    </w:p>
    <w:p w14:paraId="022FBDB1" w14:textId="77777777" w:rsidR="00600B80" w:rsidRDefault="00000000">
      <w:pPr>
        <w:spacing w:after="160"/>
      </w:pPr>
      <w:r>
        <w:t>Each confirmed finding is entered into the Risk Register with a Likelihood and Impact score (1-5 each), producing an Inherent Risk score (Likelihood x Impact) and rating band:</w:t>
      </w:r>
    </w:p>
    <w:tbl>
      <w:tblPr>
        <w:tblW w:w="95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5960"/>
      </w:tblGrid>
      <w:tr w:rsidR="00600B80" w14:paraId="022FBDB5" w14:textId="77777777">
        <w:tblPrEx>
          <w:tblCellMar>
            <w:top w:w="0" w:type="dxa"/>
            <w:bottom w:w="0" w:type="dxa"/>
          </w:tblCellMar>
        </w:tblPrEx>
        <w:tc>
          <w:tcPr>
            <w:tcW w:w="2000" w:type="dxa"/>
            <w:shd w:val="clear" w:color="auto" w:fill="1F3864"/>
          </w:tcPr>
          <w:p w14:paraId="022FBDB2" w14:textId="77777777" w:rsidR="00600B80" w:rsidRDefault="00000000">
            <w:r>
              <w:rPr>
                <w:b/>
                <w:bCs/>
                <w:color w:val="FFFFFF"/>
                <w:sz w:val="18"/>
                <w:szCs w:val="18"/>
              </w:rPr>
              <w:lastRenderedPageBreak/>
              <w:t>Score Range</w:t>
            </w:r>
          </w:p>
        </w:tc>
        <w:tc>
          <w:tcPr>
            <w:tcW w:w="1600" w:type="dxa"/>
            <w:shd w:val="clear" w:color="auto" w:fill="1F3864"/>
          </w:tcPr>
          <w:p w14:paraId="022FBDB3" w14:textId="77777777" w:rsidR="00600B80" w:rsidRDefault="00000000">
            <w:r>
              <w:rPr>
                <w:b/>
                <w:bCs/>
                <w:color w:val="FFFFFF"/>
                <w:sz w:val="18"/>
                <w:szCs w:val="18"/>
              </w:rPr>
              <w:t>Rating</w:t>
            </w:r>
          </w:p>
        </w:tc>
        <w:tc>
          <w:tcPr>
            <w:tcW w:w="5960" w:type="dxa"/>
            <w:shd w:val="clear" w:color="auto" w:fill="1F3864"/>
          </w:tcPr>
          <w:p w14:paraId="022FBDB4" w14:textId="77777777" w:rsidR="00600B80" w:rsidRDefault="00000000">
            <w:r>
              <w:rPr>
                <w:b/>
                <w:bCs/>
                <w:color w:val="FFFFFF"/>
                <w:sz w:val="18"/>
                <w:szCs w:val="18"/>
              </w:rPr>
              <w:t>Typical Response</w:t>
            </w:r>
          </w:p>
        </w:tc>
      </w:tr>
      <w:tr w:rsidR="00600B80" w14:paraId="022FBDB9" w14:textId="77777777">
        <w:tblPrEx>
          <w:tblCellMar>
            <w:top w:w="0" w:type="dxa"/>
            <w:bottom w:w="0" w:type="dxa"/>
          </w:tblCellMar>
        </w:tblPrEx>
        <w:tc>
          <w:tcPr>
            <w:tcW w:w="2000" w:type="dxa"/>
          </w:tcPr>
          <w:p w14:paraId="022FBDB6" w14:textId="77777777" w:rsidR="00600B80" w:rsidRDefault="00000000">
            <w:r>
              <w:rPr>
                <w:sz w:val="18"/>
                <w:szCs w:val="18"/>
              </w:rPr>
              <w:t>20-25</w:t>
            </w:r>
          </w:p>
        </w:tc>
        <w:tc>
          <w:tcPr>
            <w:tcW w:w="1600" w:type="dxa"/>
          </w:tcPr>
          <w:p w14:paraId="022FBDB7" w14:textId="77777777" w:rsidR="00600B80" w:rsidRDefault="00000000">
            <w:r>
              <w:rPr>
                <w:sz w:val="18"/>
                <w:szCs w:val="18"/>
              </w:rPr>
              <w:t>Critical</w:t>
            </w:r>
          </w:p>
        </w:tc>
        <w:tc>
          <w:tcPr>
            <w:tcW w:w="5960" w:type="dxa"/>
          </w:tcPr>
          <w:p w14:paraId="022FBDB8" w14:textId="77777777" w:rsidR="00600B80" w:rsidRDefault="00000000">
            <w:r>
              <w:rPr>
                <w:sz w:val="18"/>
                <w:szCs w:val="18"/>
              </w:rPr>
              <w:t>Treat as a release blocker; remediate before further deployment</w:t>
            </w:r>
          </w:p>
        </w:tc>
      </w:tr>
      <w:tr w:rsidR="00600B80" w14:paraId="022FBDBD" w14:textId="77777777">
        <w:tblPrEx>
          <w:tblCellMar>
            <w:top w:w="0" w:type="dxa"/>
            <w:bottom w:w="0" w:type="dxa"/>
          </w:tblCellMar>
        </w:tblPrEx>
        <w:tc>
          <w:tcPr>
            <w:tcW w:w="2000" w:type="dxa"/>
            <w:shd w:val="clear" w:color="auto" w:fill="F2F2F2"/>
          </w:tcPr>
          <w:p w14:paraId="022FBDBA" w14:textId="77777777" w:rsidR="00600B80" w:rsidRDefault="00000000">
            <w:r>
              <w:rPr>
                <w:sz w:val="18"/>
                <w:szCs w:val="18"/>
              </w:rPr>
              <w:t>12-19</w:t>
            </w:r>
          </w:p>
        </w:tc>
        <w:tc>
          <w:tcPr>
            <w:tcW w:w="1600" w:type="dxa"/>
            <w:shd w:val="clear" w:color="auto" w:fill="F2F2F2"/>
          </w:tcPr>
          <w:p w14:paraId="022FBDBB" w14:textId="77777777" w:rsidR="00600B80" w:rsidRDefault="00000000">
            <w:r>
              <w:rPr>
                <w:sz w:val="18"/>
                <w:szCs w:val="18"/>
              </w:rPr>
              <w:t>High</w:t>
            </w:r>
          </w:p>
        </w:tc>
        <w:tc>
          <w:tcPr>
            <w:tcW w:w="5960" w:type="dxa"/>
            <w:shd w:val="clear" w:color="auto" w:fill="F2F2F2"/>
          </w:tcPr>
          <w:p w14:paraId="022FBDBC" w14:textId="77777777" w:rsidR="00600B80" w:rsidRDefault="00000000">
            <w:r>
              <w:rPr>
                <w:sz w:val="18"/>
                <w:szCs w:val="18"/>
              </w:rPr>
              <w:t>Remediate within an agreed short-term window; escalate to risk owner</w:t>
            </w:r>
          </w:p>
        </w:tc>
      </w:tr>
      <w:tr w:rsidR="00600B80" w14:paraId="022FBDC1" w14:textId="77777777">
        <w:tblPrEx>
          <w:tblCellMar>
            <w:top w:w="0" w:type="dxa"/>
            <w:bottom w:w="0" w:type="dxa"/>
          </w:tblCellMar>
        </w:tblPrEx>
        <w:tc>
          <w:tcPr>
            <w:tcW w:w="2000" w:type="dxa"/>
          </w:tcPr>
          <w:p w14:paraId="022FBDBE" w14:textId="77777777" w:rsidR="00600B80" w:rsidRDefault="00000000">
            <w:r>
              <w:rPr>
                <w:sz w:val="18"/>
                <w:szCs w:val="18"/>
              </w:rPr>
              <w:t>6-11</w:t>
            </w:r>
          </w:p>
        </w:tc>
        <w:tc>
          <w:tcPr>
            <w:tcW w:w="1600" w:type="dxa"/>
          </w:tcPr>
          <w:p w14:paraId="022FBDBF" w14:textId="77777777" w:rsidR="00600B80" w:rsidRDefault="00000000">
            <w:r>
              <w:rPr>
                <w:sz w:val="18"/>
                <w:szCs w:val="18"/>
              </w:rPr>
              <w:t>Medium</w:t>
            </w:r>
          </w:p>
        </w:tc>
        <w:tc>
          <w:tcPr>
            <w:tcW w:w="5960" w:type="dxa"/>
          </w:tcPr>
          <w:p w14:paraId="022FBDC0" w14:textId="77777777" w:rsidR="00600B80" w:rsidRDefault="00000000">
            <w:r>
              <w:rPr>
                <w:sz w:val="18"/>
                <w:szCs w:val="18"/>
              </w:rPr>
              <w:t>Remediate on the standard roadmap; monitor</w:t>
            </w:r>
          </w:p>
        </w:tc>
      </w:tr>
      <w:tr w:rsidR="00600B80" w14:paraId="022FBDC5" w14:textId="77777777">
        <w:tblPrEx>
          <w:tblCellMar>
            <w:top w:w="0" w:type="dxa"/>
            <w:bottom w:w="0" w:type="dxa"/>
          </w:tblCellMar>
        </w:tblPrEx>
        <w:tc>
          <w:tcPr>
            <w:tcW w:w="2000" w:type="dxa"/>
            <w:shd w:val="clear" w:color="auto" w:fill="F2F2F2"/>
          </w:tcPr>
          <w:p w14:paraId="022FBDC2" w14:textId="77777777" w:rsidR="00600B80" w:rsidRDefault="00000000">
            <w:r>
              <w:rPr>
                <w:sz w:val="18"/>
                <w:szCs w:val="18"/>
              </w:rPr>
              <w:t>1-5</w:t>
            </w:r>
          </w:p>
        </w:tc>
        <w:tc>
          <w:tcPr>
            <w:tcW w:w="1600" w:type="dxa"/>
            <w:shd w:val="clear" w:color="auto" w:fill="F2F2F2"/>
          </w:tcPr>
          <w:p w14:paraId="022FBDC3" w14:textId="77777777" w:rsidR="00600B80" w:rsidRDefault="00000000">
            <w:r>
              <w:rPr>
                <w:sz w:val="18"/>
                <w:szCs w:val="18"/>
              </w:rPr>
              <w:t>Low</w:t>
            </w:r>
          </w:p>
        </w:tc>
        <w:tc>
          <w:tcPr>
            <w:tcW w:w="5960" w:type="dxa"/>
            <w:shd w:val="clear" w:color="auto" w:fill="F2F2F2"/>
          </w:tcPr>
          <w:p w14:paraId="022FBDC4" w14:textId="77777777" w:rsidR="00600B80" w:rsidRDefault="00000000">
            <w:r>
              <w:rPr>
                <w:sz w:val="18"/>
                <w:szCs w:val="18"/>
              </w:rPr>
              <w:t>Accept, document, and review at next periodic assessment</w:t>
            </w:r>
          </w:p>
        </w:tc>
      </w:tr>
    </w:tbl>
    <w:p w14:paraId="022FBDC6" w14:textId="77777777" w:rsidR="00600B80" w:rsidRDefault="00000000">
      <w:pPr>
        <w:spacing w:after="160"/>
      </w:pPr>
      <w:r>
        <w:t xml:space="preserve">Residual risk is scored the same way after accounting for any compensating controls already in place. Every risk is </w:t>
      </w:r>
      <w:proofErr w:type="gramStart"/>
      <w:r>
        <w:t>assigned</w:t>
      </w:r>
      <w:proofErr w:type="gramEnd"/>
      <w:r>
        <w:t xml:space="preserve"> an owner and a status, so the register functions as a living tracking document rather than a one-time report.</w:t>
      </w:r>
    </w:p>
    <w:p w14:paraId="022FBDC7" w14:textId="77777777" w:rsidR="00600B80" w:rsidRDefault="00000000">
      <w:pPr>
        <w:pStyle w:val="Heading1"/>
        <w:spacing w:before="320" w:after="160"/>
      </w:pPr>
      <w:r>
        <w:t>7. Step 5 - Conformity Gap Assessment &amp; Remediation Roadmap</w:t>
      </w:r>
    </w:p>
    <w:p w14:paraId="022FBDC8" w14:textId="77777777" w:rsidR="00600B80" w:rsidRDefault="00000000">
      <w:pPr>
        <w:spacing w:after="160"/>
      </w:pPr>
      <w:r>
        <w:t>For any agent classified as high-risk (or that a business decides to assess to that standard regardless of formal classification), findings are additionally rolled up into an EU AI Act conformity view covering:</w:t>
      </w:r>
    </w:p>
    <w:p w14:paraId="022FBDC9" w14:textId="77777777" w:rsidR="00600B80" w:rsidRDefault="00000000">
      <w:pPr>
        <w:pStyle w:val="ListParagraph"/>
        <w:numPr>
          <w:ilvl w:val="0"/>
          <w:numId w:val="2"/>
        </w:numPr>
        <w:spacing w:after="80"/>
      </w:pPr>
      <w:r>
        <w:t>Article 9 - Risk management system</w:t>
      </w:r>
    </w:p>
    <w:p w14:paraId="022FBDCA" w14:textId="77777777" w:rsidR="00600B80" w:rsidRDefault="00000000">
      <w:pPr>
        <w:pStyle w:val="ListParagraph"/>
        <w:numPr>
          <w:ilvl w:val="0"/>
          <w:numId w:val="2"/>
        </w:numPr>
        <w:spacing w:after="80"/>
      </w:pPr>
      <w:r>
        <w:t>Article 10 - Data and data governance</w:t>
      </w:r>
    </w:p>
    <w:p w14:paraId="022FBDCB" w14:textId="77777777" w:rsidR="00600B80" w:rsidRDefault="00000000">
      <w:pPr>
        <w:pStyle w:val="ListParagraph"/>
        <w:numPr>
          <w:ilvl w:val="0"/>
          <w:numId w:val="2"/>
        </w:numPr>
        <w:spacing w:after="80"/>
      </w:pPr>
      <w:r>
        <w:t>Article 12 - Record-keeping / logging</w:t>
      </w:r>
    </w:p>
    <w:p w14:paraId="022FBDCC" w14:textId="77777777" w:rsidR="00600B80" w:rsidRDefault="00000000">
      <w:pPr>
        <w:pStyle w:val="ListParagraph"/>
        <w:numPr>
          <w:ilvl w:val="0"/>
          <w:numId w:val="2"/>
        </w:numPr>
        <w:spacing w:after="80"/>
      </w:pPr>
      <w:r>
        <w:t>Article 13 - Transparency and provision of information to users</w:t>
      </w:r>
    </w:p>
    <w:p w14:paraId="022FBDCD" w14:textId="77777777" w:rsidR="00600B80" w:rsidRDefault="00000000">
      <w:pPr>
        <w:pStyle w:val="ListParagraph"/>
        <w:numPr>
          <w:ilvl w:val="0"/>
          <w:numId w:val="2"/>
        </w:numPr>
        <w:spacing w:after="80"/>
      </w:pPr>
      <w:r>
        <w:t>Article 14 - Human oversight</w:t>
      </w:r>
    </w:p>
    <w:p w14:paraId="022FBDCE" w14:textId="77777777" w:rsidR="00600B80" w:rsidRDefault="00000000">
      <w:pPr>
        <w:pStyle w:val="ListParagraph"/>
        <w:numPr>
          <w:ilvl w:val="0"/>
          <w:numId w:val="2"/>
        </w:numPr>
        <w:spacing w:after="80"/>
      </w:pPr>
      <w:r>
        <w:t>Annex IV - Technical documentation</w:t>
      </w:r>
    </w:p>
    <w:p w14:paraId="022FBDCF" w14:textId="77777777" w:rsidR="00600B80" w:rsidRDefault="00000000">
      <w:pPr>
        <w:spacing w:after="160"/>
      </w:pPr>
      <w:r>
        <w:t xml:space="preserve">Each unmet requirement is recorded with its </w:t>
      </w:r>
      <w:proofErr w:type="gramStart"/>
      <w:r>
        <w:t>current status</w:t>
      </w:r>
      <w:proofErr w:type="gramEnd"/>
      <w:r>
        <w:t xml:space="preserve">, the linked </w:t>
      </w:r>
      <w:proofErr w:type="gramStart"/>
      <w:r>
        <w:t>finding(s)</w:t>
      </w:r>
      <w:proofErr w:type="gramEnd"/>
      <w:r>
        <w:t xml:space="preserve"> that evidence the gap, and a remediation owner - producing a document structured the way a conformity assessment body or internal audit function would expect to review it. Remediation is then sequenced into phases (immediate / short-term / structural) based on severity and </w:t>
      </w:r>
      <w:proofErr w:type="gramStart"/>
      <w:r>
        <w:t>effort, and</w:t>
      </w:r>
      <w:proofErr w:type="gramEnd"/>
      <w:r>
        <w:t xml:space="preserve"> rolled up into an executive summary for non-technical stakeholders.</w:t>
      </w:r>
    </w:p>
    <w:p w14:paraId="022FBDD0" w14:textId="77777777" w:rsidR="00600B80" w:rsidRDefault="00000000">
      <w:pPr>
        <w:pStyle w:val="Heading1"/>
        <w:spacing w:before="320" w:after="160"/>
      </w:pPr>
      <w:r>
        <w:t>8. Applying This Framework to a New Agent</w:t>
      </w:r>
    </w:p>
    <w:p w14:paraId="022FBDD1" w14:textId="77777777" w:rsidR="00600B80" w:rsidRDefault="00000000">
      <w:pPr>
        <w:spacing w:after="160"/>
      </w:pPr>
      <w:r>
        <w:t>See the companion "How to Apply This Framework" guide for the short checklist used to onboard a new agent (in any domain) into this methodology: classify, threat-model using the standard taxonomy plus any domain-specific threats, test, score, map to controls, and report.</w:t>
      </w:r>
    </w:p>
    <w:p w14:paraId="022FBDD2" w14:textId="77777777" w:rsidR="00600B80" w:rsidRDefault="00000000">
      <w:pPr>
        <w:pStyle w:val="Heading1"/>
        <w:spacing w:before="320" w:after="160"/>
      </w:pPr>
      <w:r>
        <w:t>Appendix A - Glossary</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360"/>
      </w:tblGrid>
      <w:tr w:rsidR="00600B80" w14:paraId="022FBDD5" w14:textId="77777777">
        <w:tblPrEx>
          <w:tblCellMar>
            <w:top w:w="0" w:type="dxa"/>
            <w:bottom w:w="0" w:type="dxa"/>
          </w:tblCellMar>
        </w:tblPrEx>
        <w:tc>
          <w:tcPr>
            <w:tcW w:w="2600" w:type="dxa"/>
            <w:shd w:val="clear" w:color="auto" w:fill="1F3864"/>
          </w:tcPr>
          <w:p w14:paraId="022FBDD3" w14:textId="77777777" w:rsidR="00600B80" w:rsidRDefault="00000000">
            <w:r>
              <w:rPr>
                <w:b/>
                <w:bCs/>
                <w:color w:val="FFFFFF"/>
                <w:sz w:val="18"/>
                <w:szCs w:val="18"/>
              </w:rPr>
              <w:t>Term</w:t>
            </w:r>
          </w:p>
        </w:tc>
        <w:tc>
          <w:tcPr>
            <w:tcW w:w="7360" w:type="dxa"/>
            <w:shd w:val="clear" w:color="auto" w:fill="1F3864"/>
          </w:tcPr>
          <w:p w14:paraId="022FBDD4" w14:textId="77777777" w:rsidR="00600B80" w:rsidRDefault="00000000">
            <w:r>
              <w:rPr>
                <w:b/>
                <w:bCs/>
                <w:color w:val="FFFFFF"/>
                <w:sz w:val="18"/>
                <w:szCs w:val="18"/>
              </w:rPr>
              <w:t>Definition</w:t>
            </w:r>
          </w:p>
        </w:tc>
      </w:tr>
      <w:tr w:rsidR="00600B80" w14:paraId="022FBDD8" w14:textId="77777777">
        <w:tblPrEx>
          <w:tblCellMar>
            <w:top w:w="0" w:type="dxa"/>
            <w:bottom w:w="0" w:type="dxa"/>
          </w:tblCellMar>
        </w:tblPrEx>
        <w:tc>
          <w:tcPr>
            <w:tcW w:w="2600" w:type="dxa"/>
          </w:tcPr>
          <w:p w14:paraId="022FBDD6" w14:textId="77777777" w:rsidR="00600B80" w:rsidRDefault="00000000">
            <w:r>
              <w:rPr>
                <w:sz w:val="18"/>
                <w:szCs w:val="18"/>
              </w:rPr>
              <w:t>Agentic AI</w:t>
            </w:r>
          </w:p>
        </w:tc>
        <w:tc>
          <w:tcPr>
            <w:tcW w:w="7360" w:type="dxa"/>
          </w:tcPr>
          <w:p w14:paraId="022FBDD7" w14:textId="77777777" w:rsidR="00600B80" w:rsidRDefault="00000000">
            <w:r>
              <w:rPr>
                <w:sz w:val="18"/>
                <w:szCs w:val="18"/>
              </w:rPr>
              <w:t>An AI system that can plan multi-step actions and invoke tools/APIs with limited human involvement per action.</w:t>
            </w:r>
          </w:p>
        </w:tc>
      </w:tr>
      <w:tr w:rsidR="00600B80" w14:paraId="022FBDDB" w14:textId="77777777">
        <w:tblPrEx>
          <w:tblCellMar>
            <w:top w:w="0" w:type="dxa"/>
            <w:bottom w:w="0" w:type="dxa"/>
          </w:tblCellMar>
        </w:tblPrEx>
        <w:tc>
          <w:tcPr>
            <w:tcW w:w="2600" w:type="dxa"/>
            <w:shd w:val="clear" w:color="auto" w:fill="F2F2F2"/>
          </w:tcPr>
          <w:p w14:paraId="022FBDD9" w14:textId="77777777" w:rsidR="00600B80" w:rsidRDefault="00000000">
            <w:r>
              <w:rPr>
                <w:sz w:val="18"/>
                <w:szCs w:val="18"/>
              </w:rPr>
              <w:t>Excessive agency</w:t>
            </w:r>
          </w:p>
        </w:tc>
        <w:tc>
          <w:tcPr>
            <w:tcW w:w="7360" w:type="dxa"/>
            <w:shd w:val="clear" w:color="auto" w:fill="F2F2F2"/>
          </w:tcPr>
          <w:p w14:paraId="022FBDDA" w14:textId="77777777" w:rsidR="00600B80" w:rsidRDefault="00000000">
            <w:r>
              <w:rPr>
                <w:sz w:val="18"/>
                <w:szCs w:val="18"/>
              </w:rPr>
              <w:t>A system granted more autonomy, tool access, or permission than is necessary or safely controlled for its task.</w:t>
            </w:r>
          </w:p>
        </w:tc>
      </w:tr>
      <w:tr w:rsidR="00600B80" w14:paraId="022FBDDE" w14:textId="77777777">
        <w:tblPrEx>
          <w:tblCellMar>
            <w:top w:w="0" w:type="dxa"/>
            <w:bottom w:w="0" w:type="dxa"/>
          </w:tblCellMar>
        </w:tblPrEx>
        <w:tc>
          <w:tcPr>
            <w:tcW w:w="2600" w:type="dxa"/>
          </w:tcPr>
          <w:p w14:paraId="022FBDDC" w14:textId="77777777" w:rsidR="00600B80" w:rsidRDefault="00000000">
            <w:r>
              <w:rPr>
                <w:sz w:val="18"/>
                <w:szCs w:val="18"/>
              </w:rPr>
              <w:t>Prompt injection (indirect)</w:t>
            </w:r>
          </w:p>
        </w:tc>
        <w:tc>
          <w:tcPr>
            <w:tcW w:w="7360" w:type="dxa"/>
          </w:tcPr>
          <w:p w14:paraId="022FBDDD" w14:textId="77777777" w:rsidR="00600B80" w:rsidRDefault="00000000">
            <w:r>
              <w:rPr>
                <w:sz w:val="18"/>
                <w:szCs w:val="18"/>
              </w:rPr>
              <w:t>An attack where malicious instructions are embedded in content the AI system will process (a document, webpage, or retrieved record), rather than typed directly by the attacker.</w:t>
            </w:r>
          </w:p>
        </w:tc>
      </w:tr>
      <w:tr w:rsidR="00600B80" w14:paraId="022FBDE1" w14:textId="77777777">
        <w:tblPrEx>
          <w:tblCellMar>
            <w:top w:w="0" w:type="dxa"/>
            <w:bottom w:w="0" w:type="dxa"/>
          </w:tblCellMar>
        </w:tblPrEx>
        <w:tc>
          <w:tcPr>
            <w:tcW w:w="2600" w:type="dxa"/>
            <w:shd w:val="clear" w:color="auto" w:fill="F2F2F2"/>
          </w:tcPr>
          <w:p w14:paraId="022FBDDF" w14:textId="77777777" w:rsidR="00600B80" w:rsidRDefault="00000000">
            <w:r>
              <w:rPr>
                <w:sz w:val="18"/>
                <w:szCs w:val="18"/>
              </w:rPr>
              <w:t>Trust boundary</w:t>
            </w:r>
          </w:p>
        </w:tc>
        <w:tc>
          <w:tcPr>
            <w:tcW w:w="7360" w:type="dxa"/>
            <w:shd w:val="clear" w:color="auto" w:fill="F2F2F2"/>
          </w:tcPr>
          <w:p w14:paraId="022FBDE0" w14:textId="77777777" w:rsidR="00600B80" w:rsidRDefault="00000000">
            <w:r>
              <w:rPr>
                <w:sz w:val="18"/>
                <w:szCs w:val="18"/>
              </w:rPr>
              <w:t>The line separating instructions/content the system should treat as authoritative from content it should treat as untrusted data.</w:t>
            </w:r>
          </w:p>
        </w:tc>
      </w:tr>
      <w:tr w:rsidR="00600B80" w14:paraId="022FBDE4" w14:textId="77777777">
        <w:tblPrEx>
          <w:tblCellMar>
            <w:top w:w="0" w:type="dxa"/>
            <w:bottom w:w="0" w:type="dxa"/>
          </w:tblCellMar>
        </w:tblPrEx>
        <w:tc>
          <w:tcPr>
            <w:tcW w:w="2600" w:type="dxa"/>
          </w:tcPr>
          <w:p w14:paraId="022FBDE2" w14:textId="77777777" w:rsidR="00600B80" w:rsidRDefault="00000000">
            <w:r>
              <w:rPr>
                <w:sz w:val="18"/>
                <w:szCs w:val="18"/>
              </w:rPr>
              <w:t>Residual risk</w:t>
            </w:r>
          </w:p>
        </w:tc>
        <w:tc>
          <w:tcPr>
            <w:tcW w:w="7360" w:type="dxa"/>
          </w:tcPr>
          <w:p w14:paraId="022FBDE3" w14:textId="77777777" w:rsidR="00600B80" w:rsidRDefault="00000000">
            <w:r>
              <w:rPr>
                <w:sz w:val="18"/>
                <w:szCs w:val="18"/>
              </w:rPr>
              <w:t xml:space="preserve">The risk remaining after existing controls are </w:t>
            </w:r>
            <w:proofErr w:type="gramStart"/>
            <w:r>
              <w:rPr>
                <w:sz w:val="18"/>
                <w:szCs w:val="18"/>
              </w:rPr>
              <w:t>taken into account</w:t>
            </w:r>
            <w:proofErr w:type="gramEnd"/>
            <w:r>
              <w:rPr>
                <w:sz w:val="18"/>
                <w:szCs w:val="18"/>
              </w:rPr>
              <w:t>, as opposed to inherent risk (before controls).</w:t>
            </w:r>
          </w:p>
        </w:tc>
      </w:tr>
      <w:tr w:rsidR="00600B80" w14:paraId="022FBDE7" w14:textId="77777777">
        <w:tblPrEx>
          <w:tblCellMar>
            <w:top w:w="0" w:type="dxa"/>
            <w:bottom w:w="0" w:type="dxa"/>
          </w:tblCellMar>
        </w:tblPrEx>
        <w:tc>
          <w:tcPr>
            <w:tcW w:w="2600" w:type="dxa"/>
            <w:shd w:val="clear" w:color="auto" w:fill="F2F2F2"/>
          </w:tcPr>
          <w:p w14:paraId="022FBDE5" w14:textId="77777777" w:rsidR="00600B80" w:rsidRDefault="00000000">
            <w:r>
              <w:rPr>
                <w:sz w:val="18"/>
                <w:szCs w:val="18"/>
              </w:rPr>
              <w:t>Conformity assessment</w:t>
            </w:r>
          </w:p>
        </w:tc>
        <w:tc>
          <w:tcPr>
            <w:tcW w:w="7360" w:type="dxa"/>
            <w:shd w:val="clear" w:color="auto" w:fill="F2F2F2"/>
          </w:tcPr>
          <w:p w14:paraId="022FBDE6" w14:textId="77777777" w:rsidR="00600B80" w:rsidRDefault="00000000">
            <w:r>
              <w:rPr>
                <w:sz w:val="18"/>
                <w:szCs w:val="18"/>
              </w:rPr>
              <w:t>The process of demonstrating that an AI system meets applicable legal/regulatory requirements before or during deployment.</w:t>
            </w:r>
          </w:p>
        </w:tc>
      </w:tr>
    </w:tbl>
    <w:p w14:paraId="022FBDE8" w14:textId="77777777" w:rsidR="009F77BD" w:rsidRDefault="009F77BD"/>
    <w:sectPr w:rsidR="009F77BD">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95902" w14:textId="77777777" w:rsidR="009F77BD" w:rsidRDefault="009F77BD">
      <w:r>
        <w:separator/>
      </w:r>
    </w:p>
  </w:endnote>
  <w:endnote w:type="continuationSeparator" w:id="0">
    <w:p w14:paraId="253EFB17" w14:textId="77777777" w:rsidR="009F77BD" w:rsidRDefault="009F7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FBDE9" w14:textId="229E7BDC" w:rsidR="00600B80"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85040D">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55AE46" w14:textId="77777777" w:rsidR="009F77BD" w:rsidRDefault="009F77BD">
      <w:r>
        <w:separator/>
      </w:r>
    </w:p>
  </w:footnote>
  <w:footnote w:type="continuationSeparator" w:id="0">
    <w:p w14:paraId="59459595" w14:textId="77777777" w:rsidR="009F77BD" w:rsidRDefault="009F77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FBDE8" w14:textId="77777777" w:rsidR="00600B80" w:rsidRDefault="00000000">
    <w:pPr>
      <w:jc w:val="right"/>
    </w:pPr>
    <w:r>
      <w:rPr>
        <w:color w:val="808080"/>
        <w:sz w:val="16"/>
        <w:szCs w:val="16"/>
      </w:rPr>
      <w:t>Agentic AI Assurance Framework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122C7"/>
    <w:multiLevelType w:val="hybridMultilevel"/>
    <w:tmpl w:val="E5F8F522"/>
    <w:lvl w:ilvl="0" w:tplc="A934D250">
      <w:start w:val="1"/>
      <w:numFmt w:val="bullet"/>
      <w:lvlText w:val="•"/>
      <w:lvlJc w:val="left"/>
      <w:pPr>
        <w:ind w:left="431" w:hanging="259"/>
      </w:pPr>
    </w:lvl>
    <w:lvl w:ilvl="1" w:tplc="D89EC566">
      <w:numFmt w:val="decimal"/>
      <w:lvlText w:val=""/>
      <w:lvlJc w:val="left"/>
    </w:lvl>
    <w:lvl w:ilvl="2" w:tplc="64E08256">
      <w:numFmt w:val="decimal"/>
      <w:lvlText w:val=""/>
      <w:lvlJc w:val="left"/>
    </w:lvl>
    <w:lvl w:ilvl="3" w:tplc="81D0774A">
      <w:numFmt w:val="decimal"/>
      <w:lvlText w:val=""/>
      <w:lvlJc w:val="left"/>
    </w:lvl>
    <w:lvl w:ilvl="4" w:tplc="CAA25010">
      <w:numFmt w:val="decimal"/>
      <w:lvlText w:val=""/>
      <w:lvlJc w:val="left"/>
    </w:lvl>
    <w:lvl w:ilvl="5" w:tplc="007AC192">
      <w:numFmt w:val="decimal"/>
      <w:lvlText w:val=""/>
      <w:lvlJc w:val="left"/>
    </w:lvl>
    <w:lvl w:ilvl="6" w:tplc="8E946EC0">
      <w:numFmt w:val="decimal"/>
      <w:lvlText w:val=""/>
      <w:lvlJc w:val="left"/>
    </w:lvl>
    <w:lvl w:ilvl="7" w:tplc="38440E6E">
      <w:numFmt w:val="decimal"/>
      <w:lvlText w:val=""/>
      <w:lvlJc w:val="left"/>
    </w:lvl>
    <w:lvl w:ilvl="8" w:tplc="D58CF8C4">
      <w:numFmt w:val="decimal"/>
      <w:lvlText w:val=""/>
      <w:lvlJc w:val="left"/>
    </w:lvl>
  </w:abstractNum>
  <w:abstractNum w:abstractNumId="1" w15:restartNumberingAfterBreak="0">
    <w:nsid w:val="7C7C6D13"/>
    <w:multiLevelType w:val="hybridMultilevel"/>
    <w:tmpl w:val="CE84503A"/>
    <w:lvl w:ilvl="0" w:tplc="4E22FF82">
      <w:start w:val="1"/>
      <w:numFmt w:val="bullet"/>
      <w:lvlText w:val="●"/>
      <w:lvlJc w:val="left"/>
      <w:pPr>
        <w:ind w:left="720" w:hanging="360"/>
      </w:pPr>
    </w:lvl>
    <w:lvl w:ilvl="1" w:tplc="D1CC2D44">
      <w:start w:val="1"/>
      <w:numFmt w:val="bullet"/>
      <w:lvlText w:val="○"/>
      <w:lvlJc w:val="left"/>
      <w:pPr>
        <w:ind w:left="1440" w:hanging="360"/>
      </w:pPr>
    </w:lvl>
    <w:lvl w:ilvl="2" w:tplc="D6FE8868">
      <w:start w:val="1"/>
      <w:numFmt w:val="bullet"/>
      <w:lvlText w:val="■"/>
      <w:lvlJc w:val="left"/>
      <w:pPr>
        <w:ind w:left="2160" w:hanging="360"/>
      </w:pPr>
    </w:lvl>
    <w:lvl w:ilvl="3" w:tplc="A7FE5F1A">
      <w:start w:val="1"/>
      <w:numFmt w:val="bullet"/>
      <w:lvlText w:val="●"/>
      <w:lvlJc w:val="left"/>
      <w:pPr>
        <w:ind w:left="2880" w:hanging="360"/>
      </w:pPr>
    </w:lvl>
    <w:lvl w:ilvl="4" w:tplc="D090E14E">
      <w:start w:val="1"/>
      <w:numFmt w:val="bullet"/>
      <w:lvlText w:val="○"/>
      <w:lvlJc w:val="left"/>
      <w:pPr>
        <w:ind w:left="3600" w:hanging="360"/>
      </w:pPr>
    </w:lvl>
    <w:lvl w:ilvl="5" w:tplc="2A2E69FA">
      <w:start w:val="1"/>
      <w:numFmt w:val="bullet"/>
      <w:lvlText w:val="■"/>
      <w:lvlJc w:val="left"/>
      <w:pPr>
        <w:ind w:left="4320" w:hanging="360"/>
      </w:pPr>
    </w:lvl>
    <w:lvl w:ilvl="6" w:tplc="1146EAEE">
      <w:start w:val="1"/>
      <w:numFmt w:val="bullet"/>
      <w:lvlText w:val="●"/>
      <w:lvlJc w:val="left"/>
      <w:pPr>
        <w:ind w:left="5040" w:hanging="360"/>
      </w:pPr>
    </w:lvl>
    <w:lvl w:ilvl="7" w:tplc="3B64B994">
      <w:start w:val="1"/>
      <w:numFmt w:val="bullet"/>
      <w:lvlText w:val="●"/>
      <w:lvlJc w:val="left"/>
      <w:pPr>
        <w:ind w:left="5760" w:hanging="360"/>
      </w:pPr>
    </w:lvl>
    <w:lvl w:ilvl="8" w:tplc="EF6EDA84">
      <w:start w:val="1"/>
      <w:numFmt w:val="bullet"/>
      <w:lvlText w:val="●"/>
      <w:lvlJc w:val="left"/>
      <w:pPr>
        <w:ind w:left="6480" w:hanging="360"/>
      </w:pPr>
    </w:lvl>
  </w:abstractNum>
  <w:num w:numId="1" w16cid:durableId="1339577362">
    <w:abstractNumId w:val="1"/>
    <w:lvlOverride w:ilvl="0">
      <w:startOverride w:val="1"/>
    </w:lvlOverride>
  </w:num>
  <w:num w:numId="2" w16cid:durableId="19079550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B80"/>
    <w:rsid w:val="002B0132"/>
    <w:rsid w:val="00600B80"/>
    <w:rsid w:val="0085040D"/>
    <w:rsid w:val="009F77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2FBD49"/>
  <w15:docId w15:val="{255AEE23-681E-48B2-8534-35F3149882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3</Pages>
  <Words>1495</Words>
  <Characters>8525</Characters>
  <Application>Microsoft Office Word</Application>
  <DocSecurity>0</DocSecurity>
  <Lines>71</Lines>
  <Paragraphs>19</Paragraphs>
  <ScaleCrop>false</ScaleCrop>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Prathibha Nandeesh</cp:lastModifiedBy>
  <cp:revision>2</cp:revision>
  <dcterms:created xsi:type="dcterms:W3CDTF">2026-08-15T06:48:00Z</dcterms:created>
  <dcterms:modified xsi:type="dcterms:W3CDTF">2026-08-15T08:59:00Z</dcterms:modified>
</cp:coreProperties>
</file>