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36"/>
          <w:szCs w:val="36"/>
        </w:rPr>
        <w:t xml:space="preserve">How to Apply This Framework to a New Agent</w:t>
      </w:r>
    </w:p>
    <w:p>
      <w:pPr>
        <w:spacing w:after="160"/>
      </w:pPr>
      <w:r>
        <w:rPr>
          <w:i/>
          <w:iCs/>
          <w:color w:val="666666"/>
          <w:sz w:val="20"/>
          <w:szCs w:val="20"/>
        </w:rPr>
        <w:t xml:space="preserve">A short onboarding checklist for applying the Agentic AI Assurance Framework to any new agentic AI system, in any domain.</w:t>
      </w:r>
    </w:p>
    <w:p>
      <w:pPr>
        <w:pStyle w:val="Heading1"/>
        <w:spacing w:after="160" w:before="320"/>
      </w:pPr>
      <w:r>
        <w:t xml:space="preserve">Checklist</w:t>
      </w:r>
    </w:p>
    <w:p>
      <w:pPr>
        <w:spacing w:after="140"/>
      </w:pPr>
      <w:r>
        <w:rPr>
          <w:b/>
          <w:bCs/>
          <w:color w:val="1F3864"/>
        </w:rPr>
        <w:t xml:space="preserve">Step 1. </w:t>
      </w:r>
      <w:r>
        <w:t xml:space="preserve">Classify. Complete the Risk Classification worksheet (Tab 1 of the companion workbook) for the new agent: autonomy level, decision impact, data sensitivity, tool/action surface, reversibility, and population affected. Assign an EU AI Act tier and NIST AI RMF context profile.</w:t>
      </w:r>
    </w:p>
    <w:p>
      <w:pPr>
        <w:spacing w:after="140"/>
      </w:pPr>
      <w:r>
        <w:rPr>
          <w:b/>
          <w:bCs/>
          <w:color w:val="1F3864"/>
        </w:rPr>
        <w:t xml:space="preserve">Step 2. </w:t>
      </w:r>
      <w:r>
        <w:t xml:space="preserve">Identify domain-specific threats. Start from the six standard threat categories in Section 4 of the Framework (prompt injection, excessive agency, broken authorization, uncontrolled egress, insecure output handling, sensitive data exposure) - these apply to any tool-calling agent. Then add any threats specific to the new domain (for example: biased or discriminatory outcomes for an HR or lending agent; clinical-safety failure modes for a health agent; segregation-of-duties failures for a finance agent).</w:t>
      </w:r>
    </w:p>
    <w:p>
      <w:pPr>
        <w:spacing w:after="140"/>
      </w:pPr>
      <w:r>
        <w:rPr>
          <w:b/>
          <w:bCs/>
          <w:color w:val="1F3864"/>
        </w:rPr>
        <w:t xml:space="preserve">Step 3. </w:t>
      </w:r>
      <w:r>
        <w:t xml:space="preserve">Design and run manual test cases. For each threat, write a test case using the same structure as the worked example (Tab 2): an ID, the manual steps to probe the agent through its normal interface, a pre-defined pass/fail condition, and the evidence to capture. Execute each test and record the result.</w:t>
      </w:r>
    </w:p>
    <w:p>
      <w:pPr>
        <w:spacing w:after="140"/>
      </w:pPr>
      <w:r>
        <w:rPr>
          <w:b/>
          <w:bCs/>
          <w:color w:val="1F3864"/>
        </w:rPr>
        <w:t xml:space="preserve">Step 4. </w:t>
      </w:r>
      <w:r>
        <w:t xml:space="preserve">Score and register findings. For every confirmed finding, add a row to the Risk Register (Tab 3) using the same Likelihood x Impact scoring scale, and map it to the relevant NIST AI RMF subcategory and ISO/IEC 42001 Annex A control.</w:t>
      </w:r>
    </w:p>
    <w:p>
      <w:pPr>
        <w:spacing w:after="140"/>
      </w:pPr>
      <w:r>
        <w:rPr>
          <w:b/>
          <w:bCs/>
          <w:color w:val="1F3864"/>
        </w:rPr>
        <w:t xml:space="preserve">Step 5. </w:t>
      </w:r>
      <w:r>
        <w:t xml:space="preserve">Assess conformity (if high-risk). If the agent is classified as high-risk, complete a Conformity Gap Assessment (Tab 4) against EU AI Act Articles 9, 10, 12, 13, 14, and Annex IV, linking each gap to its supporting finding(s).</w:t>
      </w:r>
    </w:p>
    <w:p>
      <w:pPr>
        <w:spacing w:after="140"/>
      </w:pPr>
      <w:r>
        <w:rPr>
          <w:b/>
          <w:bCs/>
          <w:color w:val="1F3864"/>
        </w:rPr>
        <w:t xml:space="preserve">Step 6. </w:t>
      </w:r>
      <w:r>
        <w:t xml:space="preserve">Report. Summarize the assessment for both technical and non-technical audiences: a findings/remediation report for engineering and security stakeholders, and a one-page executive summary for governance/board-level stakeholders.</w:t>
      </w:r>
    </w:p>
    <w:p>
      <w:pPr>
        <w:pStyle w:val="Heading1"/>
        <w:spacing w:after="160" w:before="320"/>
      </w:pPr>
      <w:r>
        <w:t xml:space="preserve">Adjusting for Different Domains</w:t>
      </w:r>
    </w:p>
    <w:p>
      <w:pPr>
        <w:spacing w:after="160"/>
      </w:pPr>
      <w:r>
        <w:t xml:space="preserve">The classification and testing structure stays constant; what changes by domain is (a) which additional threats you add in Step 2, and (b) which additional regulatory regimes stack on top of the EU AI Act in Step 5. Examples: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60"/>
      </w:tblGrid>
      <w:tr>
        <w:tc>
          <w:tcPr>
            <w:tcW w:type="dxa" w:w="2200"/>
            <w:shd w:fill="1F3864" w:val="clear"/>
          </w:tcPr>
          <w:p>
            <w:r>
              <w:rPr>
                <w:b/>
                <w:bCs/>
                <w:color w:val="FFFFFF"/>
                <w:sz w:val="18"/>
                <w:szCs w:val="18"/>
              </w:rPr>
              <w:t xml:space="preserve">Domain</w:t>
            </w:r>
          </w:p>
        </w:tc>
        <w:tc>
          <w:tcPr>
            <w:tcW w:type="dxa" w:w="4200"/>
            <w:shd w:fill="1F3864" w:val="clear"/>
          </w:tcPr>
          <w:p>
            <w:r>
              <w:rPr>
                <w:b/>
                <w:bCs/>
                <w:color w:val="FFFFFF"/>
                <w:sz w:val="18"/>
                <w:szCs w:val="18"/>
              </w:rPr>
              <w:t xml:space="preserve">Additional Threats to Consider</w:t>
            </w:r>
          </w:p>
        </w:tc>
        <w:tc>
          <w:tcPr>
            <w:tcW w:type="dxa" w:w="3160"/>
            <w:shd w:fill="1F3864" w:val="clear"/>
          </w:tcPr>
          <w:p>
            <w:r>
              <w:rPr>
                <w:b/>
                <w:bCs/>
                <w:color w:val="FFFFFF"/>
                <w:sz w:val="18"/>
                <w:szCs w:val="18"/>
              </w:rPr>
              <w:t xml:space="preserve">Additional Regulatory Regimes</w:t>
            </w:r>
          </w:p>
        </w:tc>
      </w:tr>
      <w:tr>
        <w:tc>
          <w:tcPr>
            <w:tcW w:type="dxa" w:w="2200"/>
          </w:tcPr>
          <w:p>
            <w:r>
              <w:rPr>
                <w:sz w:val="18"/>
                <w:szCs w:val="18"/>
              </w:rPr>
              <w:t xml:space="preserve">HR / Recruitment</w:t>
            </w:r>
          </w:p>
        </w:tc>
        <w:tc>
          <w:tcPr>
            <w:tcW w:type="dxa" w:w="4200"/>
          </w:tcPr>
          <w:p>
            <w:r>
              <w:rPr>
                <w:sz w:val="18"/>
                <w:szCs w:val="18"/>
              </w:rPr>
              <w:t xml:space="preserve">Disparate impact / discriminatory scoring; lack of explainability for adverse decisions</w:t>
            </w:r>
          </w:p>
        </w:tc>
        <w:tc>
          <w:tcPr>
            <w:tcW w:type="dxa" w:w="3160"/>
          </w:tcPr>
          <w:p>
            <w:r>
              <w:rPr>
                <w:sz w:val="18"/>
                <w:szCs w:val="18"/>
              </w:rPr>
              <w:t xml:space="preserve">Local employment/anti-discrimination law; GDPR Art. 22 (automated decision-making)</w:t>
            </w:r>
          </w:p>
        </w:tc>
      </w:tr>
      <w:tr>
        <w:tc>
          <w:tcPr>
            <w:tcW w:type="dxa" w:w="2200"/>
            <w:shd w:fill="F2F2F2" w:val="clear"/>
          </w:tcPr>
          <w:p>
            <w:r>
              <w:rPr>
                <w:sz w:val="18"/>
                <w:szCs w:val="18"/>
              </w:rPr>
              <w:t xml:space="preserve">Financial services</w:t>
            </w:r>
          </w:p>
        </w:tc>
        <w:tc>
          <w:tcPr>
            <w:tcW w:type="dxa" w:w="4200"/>
            <w:shd w:fill="F2F2F2" w:val="clear"/>
          </w:tcPr>
          <w:p>
            <w:r>
              <w:rPr>
                <w:sz w:val="18"/>
                <w:szCs w:val="18"/>
              </w:rPr>
              <w:t xml:space="preserve">Segregation-of-duties failure; unauthorized transaction approval</w:t>
            </w:r>
          </w:p>
        </w:tc>
        <w:tc>
          <w:tcPr>
            <w:tcW w:type="dxa" w:w="3160"/>
            <w:shd w:fill="F2F2F2" w:val="clear"/>
          </w:tcPr>
          <w:p>
            <w:r>
              <w:rPr>
                <w:sz w:val="18"/>
                <w:szCs w:val="18"/>
              </w:rPr>
              <w:t xml:space="preserve">Sector-specific financial services regulation; model risk management expectations</w:t>
            </w:r>
          </w:p>
        </w:tc>
      </w:tr>
      <w:tr>
        <w:tc>
          <w:tcPr>
            <w:tcW w:type="dxa" w:w="2200"/>
          </w:tcPr>
          <w:p>
            <w:r>
              <w:rPr>
                <w:sz w:val="18"/>
                <w:szCs w:val="18"/>
              </w:rPr>
              <w:t xml:space="preserve">Healthcare</w:t>
            </w:r>
          </w:p>
        </w:tc>
        <w:tc>
          <w:tcPr>
            <w:tcW w:type="dxa" w:w="4200"/>
          </w:tcPr>
          <w:p>
            <w:r>
              <w:rPr>
                <w:sz w:val="18"/>
                <w:szCs w:val="18"/>
              </w:rPr>
              <w:t xml:space="preserve">Clinical-safety failure; inadequate escalation for urgent cases</w:t>
            </w:r>
          </w:p>
        </w:tc>
        <w:tc>
          <w:tcPr>
            <w:tcW w:type="dxa" w:w="3160"/>
          </w:tcPr>
          <w:p>
            <w:r>
              <w:rPr>
                <w:sz w:val="18"/>
                <w:szCs w:val="18"/>
              </w:rPr>
              <w:t xml:space="preserve">Medical device regulation (where applicable); health-data-specific privacy law</w:t>
            </w:r>
          </w:p>
        </w:tc>
      </w:tr>
      <w:tr>
        <w:tc>
          <w:tcPr>
            <w:tcW w:type="dxa" w:w="2200"/>
            <w:shd w:fill="F2F2F2" w:val="clear"/>
          </w:tcPr>
          <w:p>
            <w:r>
              <w:rPr>
                <w:sz w:val="18"/>
                <w:szCs w:val="18"/>
              </w:rPr>
              <w:t xml:space="preserve">Customer-facing (any sector)</w:t>
            </w:r>
          </w:p>
        </w:tc>
        <w:tc>
          <w:tcPr>
            <w:tcW w:type="dxa" w:w="4200"/>
            <w:shd w:fill="F2F2F2" w:val="clear"/>
          </w:tcPr>
          <w:p>
            <w:r>
              <w:rPr>
                <w:sz w:val="18"/>
                <w:szCs w:val="18"/>
              </w:rPr>
              <w:t xml:space="preserve">Misinformation/hallucinated commitments treated as binding by customers</w:t>
            </w:r>
          </w:p>
        </w:tc>
        <w:tc>
          <w:tcPr>
            <w:tcW w:type="dxa" w:w="3160"/>
            <w:shd w:fill="F2F2F2" w:val="clear"/>
          </w:tcPr>
          <w:p>
            <w:r>
              <w:rPr>
                <w:sz w:val="18"/>
                <w:szCs w:val="18"/>
              </w:rPr>
              <w:t xml:space="preserve">Consumer protection law; sector-specific transparency/disclosure rules</w:t>
            </w:r>
          </w:p>
        </w:tc>
      </w:tr>
    </w:tbl>
    <w:p>
      <w:pPr>
        <w:pStyle w:val="Heading1"/>
        <w:spacing w:after="160" w:before="320"/>
      </w:pPr>
      <w:r>
        <w:t xml:space="preserve">Reuse Notes</w:t>
      </w:r>
    </w:p>
    <w:p>
      <w:pPr>
        <w:pStyle w:val="ListParagraph"/>
        <w:numPr>
          <w:ilvl w:val="0"/>
          <w:numId w:val="2"/>
        </w:numPr>
        <w:spacing w:after="80"/>
      </w:pPr>
      <w:r>
        <w:t xml:space="preserve">Keep the same column structure across every assessment - this is what allows findings to be compared and rolled up across an organization's full agent inventory.</w:t>
      </w:r>
    </w:p>
    <w:p>
      <w:pPr>
        <w:pStyle w:val="ListParagraph"/>
        <w:numPr>
          <w:ilvl w:val="0"/>
          <w:numId w:val="2"/>
        </w:numPr>
        <w:spacing w:after="80"/>
      </w:pPr>
      <w:r>
        <w:t xml:space="preserve">Re-score likelihood and impact for the specific deployment context each time; do not copy scores across agents even if the underlying threat category is the same.</w:t>
      </w:r>
    </w:p>
    <w:p>
      <w:pPr>
        <w:pStyle w:val="ListParagraph"/>
        <w:numPr>
          <w:ilvl w:val="0"/>
          <w:numId w:val="2"/>
        </w:numPr>
        <w:spacing w:after="80"/>
      </w:pPr>
      <w:r>
        <w:t xml:space="preserve">Revisit the classification (Step 1) whenever an agent's capabilities or tool access change - a capability change can move an agent into a higher risk tier.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Agentic AI Assurance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2026-08-15T06:50:59.683Z</dcterms:created>
  <dcterms:modified xsi:type="dcterms:W3CDTF">2026-08-15T06:50:59.683Z</dcterms:modified>
</cp:coreProperties>
</file>

<file path=docProps/custom.xml><?xml version="1.0" encoding="utf-8"?>
<Properties xmlns="http://schemas.openxmlformats.org/officeDocument/2006/custom-properties" xmlns:vt="http://schemas.openxmlformats.org/officeDocument/2006/docPropsVTypes"/>
</file>