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D4ED8"/>
          <w:sz w:val="80"/>
          <w:szCs w:val="80"/>
        </w:rPr>
        <w:t xml:space="preserve">FlowOS</w:t>
      </w:r>
    </w:p>
    <w:p>
      <w:pPr>
        <w:spacing w:after="120" w:before="0"/>
        <w:jc w:val="center"/>
      </w:pPr>
      <w:r>
        <w:rPr>
          <w:rFonts w:ascii="Arial" w:cs="Arial" w:eastAsia="Arial" w:hAnsi="Arial"/>
          <w:color w:val="0F172A"/>
          <w:sz w:val="48"/>
          <w:szCs w:val="48"/>
        </w:rPr>
        <w:t xml:space="preserve">Credit Engine</w:t>
      </w:r>
    </w:p>
    <w:p>
      <w:pPr>
        <w:spacing w:after="80" w:before="0"/>
        <w:jc w:val="center"/>
      </w:pPr>
      <w:r>
        <w:rPr>
          <w:rFonts w:ascii="Arial" w:cs="Arial" w:eastAsia="Arial" w:hAnsi="Arial"/>
          <w:color w:val="64748B"/>
          <w:sz w:val="32"/>
          <w:szCs w:val="32"/>
        </w:rPr>
        <w:t xml:space="preserve">Complete Implementation Plan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FEF2F2" w:val="clear"/>
            <w:tcMar>
              <w:top w:type="dxa" w:w="200"/>
              <w:left w:type="dxa" w:w="200"/>
              <w:bottom w:type="dxa" w:w="200"/>
              <w:right w:type="dxa" w:w="200"/>
            </w:tcMar>
          </w:tcPr>
          <w:p>
            <w:pPr>
              <w:jc w:val="center"/>
            </w:pPr>
            <w:r>
              <w:rPr>
                <w:rFonts w:ascii="Arial" w:cs="Arial" w:eastAsia="Arial" w:hAnsi="Arial"/>
                <w:b/>
                <w:bCs/>
                <w:color w:val="DC2626"/>
                <w:sz w:val="56"/>
                <w:szCs w:val="56"/>
              </w:rPr>
              <w:t xml:space="preserve">31</w:t>
            </w:r>
          </w:p>
          <w:p>
            <w:pPr>
              <w:jc w:val="center"/>
            </w:pPr>
            <w:r>
              <w:rPr>
                <w:rFonts w:ascii="Arial" w:cs="Arial" w:eastAsia="Arial" w:hAnsi="Arial"/>
                <w:color w:val="64748B"/>
                <w:sz w:val="18"/>
                <w:szCs w:val="18"/>
              </w:rPr>
              <w:t xml:space="preserve">Current score / 100</w:t>
            </w:r>
          </w:p>
        </w:tc>
        <w:tc>
          <w:tcPr>
            <w:tcW w:type="dxa" w:w="3120"/>
            <w:tcBorders>
              <w:top w:val="single" w:color="E2E8F0" w:sz="1"/>
              <w:left w:val="single" w:color="E2E8F0" w:sz="1"/>
              <w:bottom w:val="single" w:color="E2E8F0" w:sz="1"/>
              <w:right w:val="single" w:color="E2E8F0" w:sz="1"/>
            </w:tcBorders>
            <w:shd w:fill="FFFBEB" w:val="clear"/>
            <w:tcMar>
              <w:top w:type="dxa" w:w="200"/>
              <w:left w:type="dxa" w:w="200"/>
              <w:bottom w:type="dxa" w:w="200"/>
              <w:right w:type="dxa" w:w="200"/>
            </w:tcMar>
          </w:tcPr>
          <w:p>
            <w:pPr>
              <w:jc w:val="center"/>
            </w:pPr>
            <w:r>
              <w:rPr>
                <w:rFonts w:ascii="Arial" w:cs="Arial" w:eastAsia="Arial" w:hAnsi="Arial"/>
                <w:b/>
                <w:bCs/>
                <w:color w:val="D97706"/>
                <w:sz w:val="56"/>
                <w:szCs w:val="56"/>
              </w:rPr>
              <w:t xml:space="preserve">9</w:t>
            </w:r>
          </w:p>
          <w:p>
            <w:pPr>
              <w:jc w:val="center"/>
            </w:pPr>
            <w:r>
              <w:rPr>
                <w:rFonts w:ascii="Arial" w:cs="Arial" w:eastAsia="Arial" w:hAnsi="Arial"/>
                <w:color w:val="64748B"/>
                <w:sz w:val="18"/>
                <w:szCs w:val="18"/>
              </w:rPr>
              <w:t xml:space="preserve">Domains audited</w:t>
            </w:r>
          </w:p>
        </w:tc>
        <w:tc>
          <w:tcPr>
            <w:tcW w:type="dxa" w:w="3120"/>
            <w:tcBorders>
              <w:top w:val="single" w:color="E2E8F0" w:sz="1"/>
              <w:left w:val="single" w:color="E2E8F0" w:sz="1"/>
              <w:bottom w:val="single" w:color="E2E8F0" w:sz="1"/>
              <w:right w:val="single" w:color="E2E8F0" w:sz="1"/>
            </w:tcBorders>
            <w:shd w:fill="F0FDF4" w:val="clear"/>
            <w:tcMar>
              <w:top w:type="dxa" w:w="200"/>
              <w:left w:type="dxa" w:w="200"/>
              <w:bottom w:type="dxa" w:w="200"/>
              <w:right w:type="dxa" w:w="200"/>
            </w:tcMar>
          </w:tcPr>
          <w:p>
            <w:pPr>
              <w:jc w:val="center"/>
            </w:pPr>
            <w:r>
              <w:rPr>
                <w:rFonts w:ascii="Arial" w:cs="Arial" w:eastAsia="Arial" w:hAnsi="Arial"/>
                <w:b/>
                <w:bCs/>
                <w:color w:val="16A34A"/>
                <w:sz w:val="56"/>
                <w:szCs w:val="56"/>
              </w:rPr>
              <w:t xml:space="preserve">85+</w:t>
            </w:r>
          </w:p>
          <w:p>
            <w:pPr>
              <w:jc w:val="center"/>
            </w:pPr>
            <w:r>
              <w:rPr>
                <w:rFonts w:ascii="Arial" w:cs="Arial" w:eastAsia="Arial" w:hAnsi="Arial"/>
                <w:color w:val="64748B"/>
                <w:sz w:val="18"/>
                <w:szCs w:val="18"/>
              </w:rPr>
              <w:t xml:space="preserve">Target score / 100</w:t>
            </w:r>
          </w:p>
        </w:tc>
      </w:tr>
    </w:tbl>
    <w:p>
      <w:pPr>
        <w:spacing w:after="160"/>
      </w:pPr>
      <w:r>
        <w:t xml:space="preserve"/>
      </w:r>
    </w:p>
    <w:p>
      <w:pPr>
        <w:pBdr>
          <w:top w:val="single" w:color="1D4ED8" w:sz="4" w:space="1"/>
          <w:bottom w:val="single" w:color="1D4ED8" w:sz="4" w:space="1"/>
        </w:pBdr>
        <w:spacing w:after="80" w:before="0"/>
        <w:jc w:val="center"/>
      </w:pPr>
      <w:r>
        <w:rPr>
          <w:rFonts w:ascii="Arial" w:cs="Arial" w:eastAsia="Arial" w:hAnsi="Arial"/>
          <w:color w:val="64748B"/>
          <w:sz w:val="20"/>
          <w:szCs w:val="20"/>
        </w:rPr>
        <w:t xml:space="preserve">Version 1.0  |  April 2026  |  Internal Use Only</w:t>
      </w:r>
    </w:p>
    <w:p>
      <w:r>
        <w:br w:type="page"/>
      </w:r>
    </w:p>
    <w:p>
      <w:pPr>
        <w:pStyle w:val="Heading1"/>
        <w:spacing w:after="200" w:before="480"/>
      </w:pPr>
      <w:r>
        <w:rPr>
          <w:rFonts w:ascii="Arial" w:cs="Arial" w:eastAsia="Arial" w:hAnsi="Arial"/>
          <w:b/>
          <w:bCs/>
          <w:color w:val="0F172A"/>
          <w:sz w:val="36"/>
          <w:szCs w:val="36"/>
        </w:rPr>
        <w:t xml:space="preserve">Executive Summary</w:t>
      </w:r>
    </w:p>
    <w:p>
      <w:pPr>
        <w:spacing w:after="80" w:before="60"/>
      </w:pPr>
      <w:r>
        <w:rPr>
          <w:rFonts w:ascii="Arial" w:cs="Arial" w:eastAsia="Arial" w:hAnsi="Arial"/>
          <w:color w:val="0F172A"/>
          <w:sz w:val="22"/>
          <w:szCs w:val="22"/>
        </w:rPr>
        <w:t xml:space="preserve">This document is the complete implementation plan for the FlowOS credit engine. A full audit identified 9 domains where the current design is incomplete, scoring an aggregate 31 out of 100. Three domains — collections, risk-based pricing, and portfolio management — represent critical gaps that must be closed before any credit product goes live. The remaining six domains contain major gaps that will limit scale, margin, and regulatory compliance if left unaddressed.</w:t>
      </w:r>
    </w:p>
    <w:p>
      <w:pPr>
        <w:spacing w:after="80"/>
      </w:pPr>
      <w:r>
        <w:t xml:space="preserve"/>
      </w:r>
    </w:p>
    <w:p>
      <w:pPr>
        <w:spacing w:after="80" w:before="60"/>
      </w:pPr>
      <w:r>
        <w:rPr>
          <w:rFonts w:ascii="Arial" w:cs="Arial" w:eastAsia="Arial" w:hAnsi="Arial"/>
          <w:color w:val="0F172A"/>
          <w:sz w:val="22"/>
          <w:szCs w:val="22"/>
        </w:rPr>
        <w:t xml:space="preserve">This plan covers what to build, how to build it, in what order, and what the target state looks like for each domain. Each section includes a current score, target score, gap analysis, implementation steps, technical requirements, and success metrics.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120"/>
              <w:left w:type="dxa" w:w="200"/>
              <w:bottom w:type="dxa" w:w="120"/>
              <w:right w:type="dxa" w:w="120"/>
            </w:tcMar>
          </w:tcPr>
          <w:p>
            <w:r>
              <w:rPr>
                <w:rFonts w:ascii="Arial" w:cs="Arial" w:eastAsia="Arial" w:hAnsi="Arial"/>
                <w:color w:val="0F172A"/>
                <w:sz w:val="22"/>
                <w:szCs w:val="22"/>
              </w:rPr>
              <w:t xml:space="preserve">Non-negotiable before launch: Complete sections 1 (Underwriting), 5 (Collections), and 6 (Compliance) before disbursing a single loan. The other six sections can be phased in post-launch.</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500"/>
        <w:gridCol w:w="2960"/>
      </w:tblGrid>
      <w:tr>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Domain</w:t>
            </w:r>
          </w:p>
        </w:tc>
        <w:tc>
          <w:tcPr>
            <w:tcW w:type="dxa" w:w="12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Current</w:t>
            </w:r>
          </w:p>
        </w:tc>
        <w:tc>
          <w:tcPr>
            <w:tcW w:type="dxa" w:w="12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Target</w:t>
            </w:r>
          </w:p>
        </w:tc>
        <w:tc>
          <w:tcPr>
            <w:tcW w:type="dxa" w:w="1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Priority</w:t>
            </w:r>
          </w:p>
        </w:tc>
        <w:tc>
          <w:tcPr>
            <w:tcW w:type="dxa" w:w="29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Phase</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Underwriting model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20</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85</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Critical</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Pre-launch</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Risk-based pricing</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5</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80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Critical</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Pre-launch</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Offer design</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40</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85</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High</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 1-2</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Portfolio risk management</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15</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80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Critical</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Pre-launch</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Collections and servicing</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0</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85</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Critical</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Pre-launch</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Compliance and legal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25</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90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Critical</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Pre-launch</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Algorithm intelligence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30</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80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High</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 3-6</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Product gaps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45</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85</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Medium</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 4-9</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Repayment mechanics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50</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90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High</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 1-3</w:t>
            </w:r>
          </w:p>
        </w:tc>
      </w:tr>
    </w:tbl>
    <w:p>
      <w:r>
        <w:br w:type="page"/>
      </w:r>
    </w:p>
    <w:p>
      <w:pPr>
        <w:pStyle w:val="Heading1"/>
        <w:spacing w:after="200" w:before="480"/>
      </w:pPr>
      <w:r>
        <w:rPr>
          <w:rFonts w:ascii="Arial" w:cs="Arial" w:eastAsia="Arial" w:hAnsi="Arial"/>
          <w:b/>
          <w:bCs/>
          <w:color w:val="0F172A"/>
          <w:sz w:val="36"/>
          <w:szCs w:val="36"/>
        </w:rPr>
        <w:t xml:space="preserve">1. Underwriting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2"/>
                <w:szCs w:val="22"/>
              </w:rPr>
              <w:t xml:space="preserve">Underwriting model — How you decide who gets credit</w:t>
            </w:r>
          </w:p>
        </w:tc>
        <w:tc>
          <w:tcPr>
            <w:tcW w:type="dxa" w:w="234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pPr>
              <w:jc w:val="center"/>
            </w:pPr>
            <w:r>
              <w:rPr>
                <w:rFonts w:ascii="Arial" w:cs="Arial" w:eastAsia="Arial" w:hAnsi="Arial"/>
                <w:b/>
                <w:bCs/>
                <w:color w:val="DC2626"/>
                <w:sz w:val="22"/>
                <w:szCs w:val="22"/>
              </w:rPr>
              <w:t xml:space="preserve">Current: 20/100</w:t>
            </w:r>
          </w:p>
        </w:tc>
        <w:tc>
          <w:tcPr>
            <w:tcW w:type="dxa" w:w="234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jc w:val="center"/>
            </w:pPr>
            <w:r>
              <w:rPr>
                <w:rFonts w:ascii="Arial" w:cs="Arial" w:eastAsia="Arial" w:hAnsi="Arial"/>
                <w:b/>
                <w:bCs/>
                <w:color w:val="16A34A"/>
                <w:sz w:val="22"/>
                <w:szCs w:val="22"/>
              </w:rPr>
              <w:t xml:space="preserve">Target: 85/100</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Current state — what exists</w:t>
      </w:r>
    </w:p>
    <w:p>
      <w:pPr>
        <w:spacing w:after="80" w:before="60"/>
      </w:pPr>
      <w:r>
        <w:rPr>
          <w:rFonts w:ascii="Arial" w:cs="Arial" w:eastAsia="Arial" w:hAnsi="Arial"/>
          <w:color w:val="0F172A"/>
          <w:sz w:val="22"/>
          <w:szCs w:val="22"/>
        </w:rPr>
        <w:t xml:space="preserve">The current design uses five raw signals to make credit decisions: average monthly inflow, revenue consistency score, payment behavior, overdraft frequency, and debt service ratio. These are good inputs but they are unweighted, uncalibrated, and treat all businesses identically regardless of industry, age, or customer concentration.</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analysis</w:t>
      </w:r>
    </w:p>
    <w:p>
      <w:pPr>
        <w:pStyle w:val="Heading3"/>
        <w:spacing w:after="100" w:before="240"/>
      </w:pPr>
      <w:r>
        <w:rPr>
          <w:rFonts w:ascii="Arial" w:cs="Arial" w:eastAsia="Arial" w:hAnsi="Arial"/>
          <w:b/>
          <w:bCs/>
          <w:color w:val="0F172A"/>
          <w:sz w:val="24"/>
          <w:szCs w:val="24"/>
        </w:rPr>
        <w:t xml:space="preserve">Gap 1 — No industry-specific risk weights</w:t>
      </w:r>
    </w:p>
    <w:p>
      <w:pPr>
        <w:spacing w:after="80" w:before="60"/>
      </w:pPr>
      <w:r>
        <w:rPr>
          <w:rFonts w:ascii="Arial" w:cs="Arial" w:eastAsia="Arial" w:hAnsi="Arial"/>
          <w:color w:val="0F172A"/>
          <w:sz w:val="22"/>
          <w:szCs w:val="22"/>
        </w:rPr>
        <w:t xml:space="preserve">Restaurants and law firms with identical revenue profiles have fundamentally different default probabilities. Industry-level default rates from SMB lending data show restaurants at 8-12% annual default rate vs professional services at 2-4%. Your model scores them identically, which means you are either under-charging restaurants or over-charging lawyers.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4ED8"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0F172A"/>
                <w:sz w:val="22"/>
                <w:szCs w:val="22"/>
              </w:rPr>
              <w:t xml:space="preserve">Fix: Assign every business an industry risk multiplier sourced from RBI/Fed SMB default data. Apply it to the base score before generating an offer. Example: restaurant multiplier = 1.4x risk, professional services = 0.7x risk.</w:t>
            </w:r>
          </w:p>
        </w:tc>
      </w:tr>
    </w:tbl>
    <w:p>
      <w:pPr>
        <w:spacing w:after="80"/>
      </w:pPr>
      <w:r>
        <w:t xml:space="preserve"/>
      </w:r>
    </w:p>
    <w:p>
      <w:pPr>
        <w:pStyle w:val="Heading3"/>
        <w:spacing w:after="100" w:before="240"/>
      </w:pPr>
      <w:r>
        <w:rPr>
          <w:rFonts w:ascii="Arial" w:cs="Arial" w:eastAsia="Arial" w:hAnsi="Arial"/>
          <w:b/>
          <w:bCs/>
          <w:color w:val="0F172A"/>
          <w:sz w:val="24"/>
          <w:szCs w:val="24"/>
        </w:rPr>
        <w:t xml:space="preserve">Gap 2 — No customer concentration check</w:t>
      </w:r>
    </w:p>
    <w:p>
      <w:pPr>
        <w:spacing w:after="80" w:before="60"/>
      </w:pPr>
      <w:r>
        <w:rPr>
          <w:rFonts w:ascii="Arial" w:cs="Arial" w:eastAsia="Arial" w:hAnsi="Arial"/>
          <w:color w:val="0F172A"/>
          <w:sz w:val="22"/>
          <w:szCs w:val="22"/>
        </w:rPr>
        <w:t xml:space="preserve">If a single customer generates more than 40% of a business's revenue, losing that customer triggers instant cash flow collapse. This is a structural fragility your underwriting completely ignores.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Concentration level</w:t>
            </w:r>
          </w:p>
        </w:tc>
        <w:tc>
          <w:tcPr>
            <w:tcW w:type="dxa" w:w="2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Revenue at risk</w:t>
            </w:r>
          </w:p>
        </w:tc>
        <w:tc>
          <w:tcPr>
            <w:tcW w:type="dxa" w:w="43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Underwriting action</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Top customer &lt; 25% of revenue</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Low</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No adjustment</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Top customer 25-40% of revenue</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Medium</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Reduce offer by 20%, flag in dashboard</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Top customer 40-60% of revenue</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High</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Reduce offer by 40%, require acknowledgment</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Top customer &gt; 60% of revenue</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Critical</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Decline or offer minimum secured product only</w:t>
            </w:r>
          </w:p>
        </w:tc>
      </w:tr>
    </w:tbl>
    <w:p>
      <w:pPr>
        <w:spacing w:after="80"/>
      </w:pPr>
      <w:r>
        <w:t xml:space="preserve"/>
      </w:r>
    </w:p>
    <w:p>
      <w:pPr>
        <w:pStyle w:val="Heading3"/>
        <w:spacing w:after="100" w:before="240"/>
      </w:pPr>
      <w:r>
        <w:rPr>
          <w:rFonts w:ascii="Arial" w:cs="Arial" w:eastAsia="Arial" w:hAnsi="Arial"/>
          <w:b/>
          <w:bCs/>
          <w:color w:val="0F172A"/>
          <w:sz w:val="24"/>
          <w:szCs w:val="24"/>
        </w:rPr>
        <w:t xml:space="preserve">Gap 3 — No business age weighting</w:t>
      </w:r>
    </w:p>
    <w:p>
      <w:pPr>
        <w:spacing w:after="80" w:before="60"/>
      </w:pPr>
      <w:r>
        <w:rPr>
          <w:rFonts w:ascii="Arial" w:cs="Arial" w:eastAsia="Arial" w:hAnsi="Arial"/>
          <w:color w:val="0F172A"/>
          <w:sz w:val="22"/>
          <w:szCs w:val="22"/>
        </w:rPr>
        <w:t xml:space="preserve">Businesses under 18 months old default at 2-3x the rate of businesses over 3 years old with identical cash flow profiles. Apply a hard floor: no unsecured credit to businesses under 6 months old. Apply a risk multiplier between 6-18 months.</w:t>
      </w:r>
    </w:p>
    <w:p>
      <w:pPr>
        <w:spacing w:after="80"/>
      </w:pPr>
      <w:r>
        <w:t xml:space="preserve"/>
      </w:r>
    </w:p>
    <w:p>
      <w:pPr>
        <w:pStyle w:val="Heading3"/>
        <w:spacing w:after="100" w:before="240"/>
      </w:pPr>
      <w:r>
        <w:rPr>
          <w:rFonts w:ascii="Arial" w:cs="Arial" w:eastAsia="Arial" w:hAnsi="Arial"/>
          <w:b/>
          <w:bCs/>
          <w:color w:val="0F172A"/>
          <w:sz w:val="24"/>
          <w:szCs w:val="24"/>
        </w:rPr>
        <w:t xml:space="preserve">Gap 4 — No macroeconomic signal layer</w:t>
      </w:r>
    </w:p>
    <w:p>
      <w:pPr>
        <w:spacing w:after="80" w:before="60"/>
      </w:pPr>
      <w:r>
        <w:rPr>
          <w:rFonts w:ascii="Arial" w:cs="Arial" w:eastAsia="Arial" w:hAnsi="Arial"/>
          <w:color w:val="0F172A"/>
          <w:sz w:val="22"/>
          <w:szCs w:val="22"/>
        </w:rPr>
        <w:t xml:space="preserve">Your underwriting runs in a vacuum. When the RBI raises rates by 50bps or a sector faces systemic stress (post-COVID hospitality collapse), your model keeps approving at the same rate. You need an external signal feed that tightens or loosens your scoring thresholds automatically.</w:t>
      </w:r>
    </w:p>
    <w:p>
      <w:pPr>
        <w:spacing w:after="80"/>
      </w:pPr>
      <w:r>
        <w:t xml:space="preserve"/>
      </w:r>
    </w:p>
    <w:p>
      <w:pPr>
        <w:pStyle w:val="Heading3"/>
        <w:spacing w:after="100" w:before="240"/>
      </w:pPr>
      <w:r>
        <w:rPr>
          <w:rFonts w:ascii="Arial" w:cs="Arial" w:eastAsia="Arial" w:hAnsi="Arial"/>
          <w:b/>
          <w:bCs/>
          <w:color w:val="0F172A"/>
          <w:sz w:val="24"/>
          <w:szCs w:val="24"/>
        </w:rPr>
        <w:t xml:space="preserve">Gap 5 — No fraud detection layer</w:t>
      </w:r>
    </w:p>
    <w:p>
      <w:pPr>
        <w:spacing w:after="80" w:before="60"/>
      </w:pPr>
      <w:r>
        <w:rPr>
          <w:rFonts w:ascii="Arial" w:cs="Arial" w:eastAsia="Arial" w:hAnsi="Arial"/>
          <w:color w:val="0F172A"/>
          <w:sz w:val="22"/>
          <w:szCs w:val="22"/>
        </w:rPr>
        <w:t xml:space="preserve">Synthetic identities, manipulated bank statements, and round-trip transactions are common in SMB lending. You need a baseline fraud stack before going live.</w:t>
      </w:r>
    </w:p>
    <w:p>
      <w:pPr>
        <w:pStyle w:val="ListParagraph"/>
        <w:numPr>
          <w:ilvl w:val="0"/>
          <w:numId w:val="2"/>
        </w:numPr>
        <w:spacing w:after="50" w:before="50"/>
      </w:pPr>
      <w:r>
        <w:rPr>
          <w:rFonts w:ascii="Arial" w:cs="Arial" w:eastAsia="Arial" w:hAnsi="Arial"/>
          <w:color w:val="0F172A"/>
          <w:sz w:val="22"/>
          <w:szCs w:val="22"/>
        </w:rPr>
        <w:t xml:space="preserve">Device fingerprinting on application flow (use Sardine or Seon API)</w:t>
      </w:r>
    </w:p>
    <w:p>
      <w:pPr>
        <w:pStyle w:val="ListParagraph"/>
        <w:numPr>
          <w:ilvl w:val="0"/>
          <w:numId w:val="2"/>
        </w:numPr>
        <w:spacing w:after="50" w:before="50"/>
      </w:pPr>
      <w:r>
        <w:rPr>
          <w:rFonts w:ascii="Arial" w:cs="Arial" w:eastAsia="Arial" w:hAnsi="Arial"/>
          <w:color w:val="0F172A"/>
          <w:sz w:val="22"/>
          <w:szCs w:val="22"/>
        </w:rPr>
        <w:t xml:space="preserve">Bank statement consistency check: does stated revenue match bank credits within 10%?</w:t>
      </w:r>
    </w:p>
    <w:p>
      <w:pPr>
        <w:pStyle w:val="ListParagraph"/>
        <w:numPr>
          <w:ilvl w:val="0"/>
          <w:numId w:val="2"/>
        </w:numPr>
        <w:spacing w:after="50" w:before="50"/>
      </w:pPr>
      <w:r>
        <w:rPr>
          <w:rFonts w:ascii="Arial" w:cs="Arial" w:eastAsia="Arial" w:hAnsi="Arial"/>
          <w:color w:val="0F172A"/>
          <w:sz w:val="22"/>
          <w:szCs w:val="22"/>
        </w:rPr>
        <w:t xml:space="preserve">Round-trip detection: money deposited and withdrawn within 48 hours inflating apparent revenue</w:t>
      </w:r>
    </w:p>
    <w:p>
      <w:pPr>
        <w:pStyle w:val="ListParagraph"/>
        <w:numPr>
          <w:ilvl w:val="0"/>
          <w:numId w:val="2"/>
        </w:numPr>
        <w:spacing w:after="50" w:before="50"/>
      </w:pPr>
      <w:r>
        <w:rPr>
          <w:rFonts w:ascii="Arial" w:cs="Arial" w:eastAsia="Arial" w:hAnsi="Arial"/>
          <w:color w:val="0F172A"/>
          <w:sz w:val="22"/>
          <w:szCs w:val="22"/>
        </w:rPr>
        <w:t xml:space="preserve">Velocity limits: no more than one application per business per 90 days</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Implementation steps</w:t>
      </w:r>
    </w:p>
    <w:p>
      <w:pPr>
        <w:pStyle w:val="ListParagraph"/>
        <w:numPr>
          <w:ilvl w:val="0"/>
          <w:numId w:val="3"/>
        </w:numPr>
        <w:spacing w:after="50" w:before="50"/>
      </w:pPr>
      <w:r>
        <w:rPr>
          <w:rFonts w:ascii="Arial" w:cs="Arial" w:eastAsia="Arial" w:hAnsi="Arial"/>
          <w:color w:val="0F172A"/>
          <w:sz w:val="22"/>
          <w:szCs w:val="22"/>
        </w:rPr>
        <w:t xml:space="preserve">Build the industry taxonomy. Map every business type to one of 12 industry categories. Assign a risk multiplier to each based on published SMB default data. Start with RBI annual reports and CIBIL SME default data for India.</w:t>
      </w:r>
    </w:p>
    <w:p>
      <w:pPr>
        <w:pStyle w:val="ListParagraph"/>
        <w:numPr>
          <w:ilvl w:val="0"/>
          <w:numId w:val="3"/>
        </w:numPr>
        <w:spacing w:after="50" w:before="50"/>
      </w:pPr>
      <w:r>
        <w:rPr>
          <w:rFonts w:ascii="Arial" w:cs="Arial" w:eastAsia="Arial" w:hAnsi="Arial"/>
          <w:color w:val="0F172A"/>
          <w:sz w:val="22"/>
          <w:szCs w:val="22"/>
        </w:rPr>
        <w:t xml:space="preserve">Build the concentration check. Parse invoice and payment data to identify top-3 customer revenue contribution. Store as a percentage field on the business profile. Feed into underwriting as a hard rule.</w:t>
      </w:r>
    </w:p>
    <w:p>
      <w:pPr>
        <w:pStyle w:val="ListParagraph"/>
        <w:numPr>
          <w:ilvl w:val="0"/>
          <w:numId w:val="3"/>
        </w:numPr>
        <w:spacing w:after="50" w:before="50"/>
      </w:pPr>
      <w:r>
        <w:rPr>
          <w:rFonts w:ascii="Arial" w:cs="Arial" w:eastAsia="Arial" w:hAnsi="Arial"/>
          <w:color w:val="0F172A"/>
          <w:sz w:val="22"/>
          <w:szCs w:val="22"/>
        </w:rPr>
        <w:t xml:space="preserve">Add business age field and apply the multiplier table. Calculate from earliest transaction date in FlowOS, not from incorporation date (which can be gamed).</w:t>
      </w:r>
    </w:p>
    <w:p>
      <w:pPr>
        <w:pStyle w:val="ListParagraph"/>
        <w:numPr>
          <w:ilvl w:val="0"/>
          <w:numId w:val="3"/>
        </w:numPr>
        <w:spacing w:after="50" w:before="50"/>
      </w:pPr>
      <w:r>
        <w:rPr>
          <w:rFonts w:ascii="Arial" w:cs="Arial" w:eastAsia="Arial" w:hAnsi="Arial"/>
          <w:color w:val="0F172A"/>
          <w:sz w:val="22"/>
          <w:szCs w:val="22"/>
        </w:rPr>
        <w:t xml:space="preserve">Integrate one macro signal: RBI repo rate change as a threshold adjuster. If repo rate increases more than 100bps in 6 months, tighten all score thresholds by 10%.</w:t>
      </w:r>
    </w:p>
    <w:p>
      <w:pPr>
        <w:pStyle w:val="ListParagraph"/>
        <w:numPr>
          <w:ilvl w:val="0"/>
          <w:numId w:val="3"/>
        </w:numPr>
        <w:spacing w:after="50" w:before="50"/>
      </w:pPr>
      <w:r>
        <w:rPr>
          <w:rFonts w:ascii="Arial" w:cs="Arial" w:eastAsia="Arial" w:hAnsi="Arial"/>
          <w:color w:val="0F172A"/>
          <w:sz w:val="22"/>
          <w:szCs w:val="22"/>
        </w:rPr>
        <w:t xml:space="preserve">Integrate Sardine or Seon for fraud signals. Add as a pass/fail gate before any offer is shown. Budget approximately $0.50 per application.</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Target underwriting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000"/>
        <w:gridCol w:w="2660"/>
      </w:tblGrid>
      <w:tr>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Signal</w:t>
            </w:r>
          </w:p>
        </w:tc>
        <w:tc>
          <w:tcPr>
            <w:tcW w:type="dxa" w:w="12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Weight</w:t>
            </w:r>
          </w:p>
        </w:tc>
        <w:tc>
          <w:tcPr>
            <w:tcW w:type="dxa" w:w="3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How measured</w:t>
            </w:r>
          </w:p>
        </w:tc>
        <w:tc>
          <w:tcPr>
            <w:tcW w:type="dxa" w:w="26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Range</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Monthly revenue (avg 6mo)</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20%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Bank + accounting inflow</w:t>
            </w:r>
          </w:p>
        </w:tc>
        <w:tc>
          <w:tcPr>
            <w:tcW w:type="dxa" w:w="2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0-25 points</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Revenue consistency (CoV)</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15%</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Standard deviation / mean</w:t>
            </w:r>
          </w:p>
        </w:tc>
        <w:tc>
          <w:tcPr>
            <w:tcW w:type="dxa" w:w="2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0-20 points</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Business age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Months since first transaction</w:t>
            </w:r>
          </w:p>
        </w:tc>
        <w:tc>
          <w:tcPr>
            <w:tcW w:type="dxa" w:w="2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0-15 points</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Customer concentration</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Top customer % of revenue</w:t>
            </w:r>
          </w:p>
        </w:tc>
        <w:tc>
          <w:tcPr>
            <w:tcW w:type="dxa" w:w="2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0-15 points</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Industry risk multiplier</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15%</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Industry category lookup</w:t>
            </w:r>
          </w:p>
        </w:tc>
        <w:tc>
          <w:tcPr>
            <w:tcW w:type="dxa" w:w="2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0.5x - 1.8x modifier</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Payment behavior</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On-time vendor payment rate</w:t>
            </w:r>
          </w:p>
        </w:tc>
        <w:tc>
          <w:tcPr>
            <w:tcW w:type="dxa" w:w="2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0-15 points</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Overdraft frequency</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Times negative in last 12mo</w:t>
            </w:r>
          </w:p>
        </w:tc>
        <w:tc>
          <w:tcPr>
            <w:tcW w:type="dxa" w:w="2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0-15 points</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Debt service ratio</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Existing repayments / revenue</w:t>
            </w:r>
          </w:p>
        </w:tc>
        <w:tc>
          <w:tcPr>
            <w:tcW w:type="dxa" w:w="2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0-15 points</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Fraud gate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Pass/fail</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Sardine/Seon risk signal</w:t>
            </w:r>
          </w:p>
        </w:tc>
        <w:tc>
          <w:tcPr>
            <w:tcW w:type="dxa" w:w="26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Hard decline if fail</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Success metrics</w:t>
      </w:r>
    </w:p>
    <w:p>
      <w:pPr>
        <w:pStyle w:val="ListParagraph"/>
        <w:numPr>
          <w:ilvl w:val="0"/>
          <w:numId w:val="2"/>
        </w:numPr>
        <w:spacing w:after="50" w:before="50"/>
      </w:pPr>
      <w:r>
        <w:rPr>
          <w:rFonts w:ascii="Arial" w:cs="Arial" w:eastAsia="Arial" w:hAnsi="Arial"/>
          <w:color w:val="0F172A"/>
          <w:sz w:val="22"/>
          <w:szCs w:val="22"/>
        </w:rPr>
        <w:t xml:space="preserve">Default rate by score band: score 70+ should default at &lt; 3%, score 40-70 at &lt; 8%</w:t>
      </w:r>
    </w:p>
    <w:p>
      <w:pPr>
        <w:pStyle w:val="ListParagraph"/>
        <w:numPr>
          <w:ilvl w:val="0"/>
          <w:numId w:val="2"/>
        </w:numPr>
        <w:spacing w:after="50" w:before="50"/>
      </w:pPr>
      <w:r>
        <w:rPr>
          <w:rFonts w:ascii="Arial" w:cs="Arial" w:eastAsia="Arial" w:hAnsi="Arial"/>
          <w:color w:val="0F172A"/>
          <w:sz w:val="22"/>
          <w:szCs w:val="22"/>
        </w:rPr>
        <w:t xml:space="preserve">Model Gini coefficient &gt; 0.35 within 6 months of having repayment data</w:t>
      </w:r>
    </w:p>
    <w:p>
      <w:pPr>
        <w:pStyle w:val="ListParagraph"/>
        <w:numPr>
          <w:ilvl w:val="0"/>
          <w:numId w:val="2"/>
        </w:numPr>
        <w:spacing w:after="50" w:before="50"/>
      </w:pPr>
      <w:r>
        <w:rPr>
          <w:rFonts w:ascii="Arial" w:cs="Arial" w:eastAsia="Arial" w:hAnsi="Arial"/>
          <w:color w:val="0F172A"/>
          <w:sz w:val="22"/>
          <w:szCs w:val="22"/>
        </w:rPr>
        <w:t xml:space="preserve">Industry multiplier reduces cross-subsidisation: restaurant default rate within 2x of professional services</w:t>
      </w:r>
    </w:p>
    <w:p>
      <w:pPr>
        <w:pStyle w:val="ListParagraph"/>
        <w:numPr>
          <w:ilvl w:val="0"/>
          <w:numId w:val="2"/>
        </w:numPr>
        <w:spacing w:after="50" w:before="50"/>
      </w:pPr>
      <w:r>
        <w:rPr>
          <w:rFonts w:ascii="Arial" w:cs="Arial" w:eastAsia="Arial" w:hAnsi="Arial"/>
          <w:color w:val="0F172A"/>
          <w:sz w:val="22"/>
          <w:szCs w:val="22"/>
        </w:rPr>
        <w:t xml:space="preserve">Fraud gate blocks &gt; 95% of known synthetic identity attempts in testing</w:t>
      </w:r>
    </w:p>
    <w:p>
      <w:r>
        <w:br w:type="page"/>
      </w:r>
    </w:p>
    <w:p>
      <w:pPr>
        <w:pStyle w:val="Heading1"/>
        <w:spacing w:after="200" w:before="480"/>
      </w:pPr>
      <w:r>
        <w:rPr>
          <w:rFonts w:ascii="Arial" w:cs="Arial" w:eastAsia="Arial" w:hAnsi="Arial"/>
          <w:b/>
          <w:bCs/>
          <w:color w:val="0F172A"/>
          <w:sz w:val="36"/>
          <w:szCs w:val="36"/>
        </w:rPr>
        <w:t xml:space="preserve">2. Risk-Based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2"/>
                <w:szCs w:val="22"/>
              </w:rPr>
              <w:t xml:space="preserve">Risk-based pricing — How you set interest rates per borrower</w:t>
            </w:r>
          </w:p>
        </w:tc>
        <w:tc>
          <w:tcPr>
            <w:tcW w:type="dxa" w:w="234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pPr>
              <w:jc w:val="center"/>
            </w:pPr>
            <w:r>
              <w:rPr>
                <w:rFonts w:ascii="Arial" w:cs="Arial" w:eastAsia="Arial" w:hAnsi="Arial"/>
                <w:b/>
                <w:bCs/>
                <w:color w:val="DC2626"/>
                <w:sz w:val="22"/>
                <w:szCs w:val="22"/>
              </w:rPr>
              <w:t xml:space="preserve">Current: 5/100</w:t>
            </w:r>
          </w:p>
        </w:tc>
        <w:tc>
          <w:tcPr>
            <w:tcW w:type="dxa" w:w="234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jc w:val="center"/>
            </w:pPr>
            <w:r>
              <w:rPr>
                <w:rFonts w:ascii="Arial" w:cs="Arial" w:eastAsia="Arial" w:hAnsi="Arial"/>
                <w:b/>
                <w:bCs/>
                <w:color w:val="16A34A"/>
                <w:sz w:val="22"/>
                <w:szCs w:val="22"/>
              </w:rPr>
              <w:t xml:space="preserve">Target: 80/100</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Current state — what exists</w:t>
      </w:r>
    </w:p>
    <w:p>
      <w:pPr>
        <w:spacing w:after="80" w:before="60"/>
      </w:pPr>
      <w:r>
        <w:rPr>
          <w:rFonts w:ascii="Arial" w:cs="Arial" w:eastAsia="Arial" w:hAnsi="Arial"/>
          <w:color w:val="0F172A"/>
          <w:sz w:val="22"/>
          <w:szCs w:val="22"/>
        </w:rPr>
        <w:t xml:space="preserve">There is no pricing model. FlowOS currently passes borrowers to lender partners (Stripe Capital, Fundbox, Capchase) who set their own rates. FlowOS earns a flat referral fee. This means FlowOS has no pricing lever, no ability to differentiate good borrowers from bad ones, and no margin improvement path.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C2626" w:val="clear"/>
          </w:tcPr>
          <w:p>
            <w:r>
              <w:t xml:space="preserve"/>
            </w:r>
          </w:p>
        </w:tc>
        <w:tc>
          <w:tcPr>
            <w:tcW w:type="dxa" w:w="9160"/>
            <w:tcBorders>
              <w:top w:val="none" w:color="FFFFFF" w:sz="0"/>
              <w:left w:val="none" w:color="FFFFFF" w:sz="0"/>
              <w:bottom w:val="none" w:color="FFFFFF" w:sz="0"/>
              <w:right w:val="none" w:color="FFFFFF" w:sz="0"/>
            </w:tcBorders>
            <w:shd w:fill="FEF2F2" w:val="clear"/>
            <w:tcMar>
              <w:top w:type="dxa" w:w="120"/>
              <w:left w:type="dxa" w:w="200"/>
              <w:bottom w:type="dxa" w:w="120"/>
              <w:right w:type="dxa" w:w="120"/>
            </w:tcMar>
          </w:tcPr>
          <w:p>
            <w:r>
              <w:rPr>
                <w:rFonts w:ascii="Arial" w:cs="Arial" w:eastAsia="Arial" w:hAnsi="Arial"/>
                <w:color w:val="0F172A"/>
                <w:sz w:val="22"/>
                <w:szCs w:val="22"/>
              </w:rPr>
              <w:t xml:space="preserve">The brutal truth: Without risk-based pricing, your safest borrowers will eventually discover they can get cheaper credit elsewhere and leave. You will be left with the riskiest borrowers — the ones who could not get cheaper credit. This is called adverse selection and it destroys lending businesses.</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analysis</w:t>
      </w:r>
    </w:p>
    <w:p>
      <w:pPr>
        <w:pStyle w:val="Heading3"/>
        <w:spacing w:after="100" w:before="240"/>
      </w:pPr>
      <w:r>
        <w:rPr>
          <w:rFonts w:ascii="Arial" w:cs="Arial" w:eastAsia="Arial" w:hAnsi="Arial"/>
          <w:b/>
          <w:bCs/>
          <w:color w:val="0F172A"/>
          <w:sz w:val="24"/>
          <w:szCs w:val="24"/>
        </w:rPr>
        <w:t xml:space="preserve">Gap 1 — No internal pricing model</w:t>
      </w:r>
    </w:p>
    <w:p>
      <w:pPr>
        <w:spacing w:after="80" w:before="60"/>
      </w:pPr>
      <w:r>
        <w:rPr>
          <w:rFonts w:ascii="Arial" w:cs="Arial" w:eastAsia="Arial" w:hAnsi="Arial"/>
          <w:color w:val="0F172A"/>
          <w:sz w:val="22"/>
          <w:szCs w:val="22"/>
        </w:rPr>
        <w:t xml:space="preserve">Even as a referral platform, you should be routing borrowers to the lender whose pricing fits their risk profile. A low-risk borrower should be sent to the cheapest product. A high-risk borrower should be sent to the lender that prices risk appropriately. Without a pricing model, you are routing randomly.</w:t>
      </w:r>
    </w:p>
    <w:p>
      <w:pPr>
        <w:spacing w:after="80"/>
      </w:pPr>
      <w:r>
        <w:t xml:space="preserve"/>
      </w:r>
    </w:p>
    <w:p>
      <w:pPr>
        <w:pStyle w:val="Heading3"/>
        <w:spacing w:after="100" w:before="240"/>
      </w:pPr>
      <w:r>
        <w:rPr>
          <w:rFonts w:ascii="Arial" w:cs="Arial" w:eastAsia="Arial" w:hAnsi="Arial"/>
          <w:b/>
          <w:bCs/>
          <w:color w:val="0F172A"/>
          <w:sz w:val="24"/>
          <w:szCs w:val="24"/>
        </w:rPr>
        <w:t xml:space="preserve">Gap 2 — No APR disclosure</w:t>
      </w:r>
    </w:p>
    <w:p>
      <w:pPr>
        <w:spacing w:after="80" w:before="60"/>
      </w:pPr>
      <w:r>
        <w:rPr>
          <w:rFonts w:ascii="Arial" w:cs="Arial" w:eastAsia="Arial" w:hAnsi="Arial"/>
          <w:color w:val="0F172A"/>
          <w:sz w:val="22"/>
          <w:szCs w:val="22"/>
        </w:rPr>
        <w:t xml:space="preserve">Revenue-based financing products are often marketed as a factor rate (1.2x, 1.5x) rather than an APR. In India, the RBI's 2022 digital lending guidelines explicitly require disclosure of Annual Percentage Rate equivalent. In the US, the FTC's TILA rules require the same for loans. Showing '1.3x return' without showing the APR equivalent is a compliance violation.</w:t>
      </w:r>
    </w:p>
    <w:p>
      <w:pPr>
        <w:spacing w:after="80"/>
      </w:pPr>
      <w:r>
        <w:t xml:space="preserve"/>
      </w:r>
    </w:p>
    <w:p>
      <w:pPr>
        <w:pStyle w:val="Heading3"/>
        <w:spacing w:after="100" w:before="240"/>
      </w:pPr>
      <w:r>
        <w:rPr>
          <w:rFonts w:ascii="Arial" w:cs="Arial" w:eastAsia="Arial" w:hAnsi="Arial"/>
          <w:b/>
          <w:bCs/>
          <w:color w:val="0F172A"/>
          <w:sz w:val="24"/>
          <w:szCs w:val="24"/>
        </w:rPr>
        <w:t xml:space="preserve">Gap 3 — No loyalty pricing</w:t>
      </w:r>
    </w:p>
    <w:p>
      <w:pPr>
        <w:spacing w:after="80" w:before="60"/>
      </w:pPr>
      <w:r>
        <w:rPr>
          <w:rFonts w:ascii="Arial" w:cs="Arial" w:eastAsia="Arial" w:hAnsi="Arial"/>
          <w:color w:val="0F172A"/>
          <w:sz w:val="22"/>
          <w:szCs w:val="22"/>
        </w:rPr>
        <w:t xml:space="preserve">A borrower who has taken 3 loans and repaid all on time is demonstrably less risky than their original profile suggested. They should be rewarded with progressively better rates. This is your strongest retention tool and you are not using it.</w:t>
      </w:r>
    </w:p>
    <w:p>
      <w:pPr>
        <w:spacing w:after="80"/>
      </w:pPr>
      <w:r>
        <w:t xml:space="preserve"/>
      </w:r>
    </w:p>
    <w:p>
      <w:pPr>
        <w:pStyle w:val="Heading3"/>
        <w:spacing w:after="100" w:before="240"/>
      </w:pPr>
      <w:r>
        <w:rPr>
          <w:rFonts w:ascii="Arial" w:cs="Arial" w:eastAsia="Arial" w:hAnsi="Arial"/>
          <w:b/>
          <w:bCs/>
          <w:color w:val="0F172A"/>
          <w:sz w:val="24"/>
          <w:szCs w:val="24"/>
        </w:rPr>
        <w:t xml:space="preserve">Gap 4 — No collateral adjustment</w:t>
      </w:r>
    </w:p>
    <w:p>
      <w:pPr>
        <w:spacing w:after="80" w:before="60"/>
      </w:pPr>
      <w:r>
        <w:rPr>
          <w:rFonts w:ascii="Arial" w:cs="Arial" w:eastAsia="Arial" w:hAnsi="Arial"/>
          <w:color w:val="0F172A"/>
          <w:sz w:val="22"/>
          <w:szCs w:val="22"/>
        </w:rPr>
        <w:t xml:space="preserve">A borrower pledging receivables, equipment, or inventory as collateral is fundamentally less risky. Asset-backed lending has 30-50% lower default rates than unsecured. Your model ignores collateral entirely.</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Implementation steps — Phase 1 (referral model)</w:t>
      </w:r>
    </w:p>
    <w:p>
      <w:pPr>
        <w:pStyle w:val="ListParagraph"/>
        <w:numPr>
          <w:ilvl w:val="0"/>
          <w:numId w:val="3"/>
        </w:numPr>
        <w:spacing w:after="50" w:before="50"/>
      </w:pPr>
      <w:r>
        <w:rPr>
          <w:rFonts w:ascii="Arial" w:cs="Arial" w:eastAsia="Arial" w:hAnsi="Arial"/>
          <w:color w:val="0F172A"/>
          <w:sz w:val="22"/>
          <w:szCs w:val="22"/>
        </w:rPr>
        <w:t xml:space="preserve">Build a rate routing table. Map each underwriting score band to the lender product with the best rate for that risk level. Update monthly as lender pricing changes.</w:t>
      </w:r>
    </w:p>
    <w:p>
      <w:pPr>
        <w:pStyle w:val="ListParagraph"/>
        <w:numPr>
          <w:ilvl w:val="0"/>
          <w:numId w:val="3"/>
        </w:numPr>
        <w:spacing w:after="50" w:before="50"/>
      </w:pPr>
      <w:r>
        <w:rPr>
          <w:rFonts w:ascii="Arial" w:cs="Arial" w:eastAsia="Arial" w:hAnsi="Arial"/>
          <w:color w:val="0F172A"/>
          <w:sz w:val="22"/>
          <w:szCs w:val="22"/>
        </w:rPr>
        <w:t xml:space="preserve">Build the APR calculator. For every offer shown, calculate and display the APR equivalent. For revenue-based financing: APR = (total repayment - principal) / principal / estimated_months * 12. Show this prominently, not buried.</w:t>
      </w:r>
    </w:p>
    <w:p>
      <w:pPr>
        <w:pStyle w:val="ListParagraph"/>
        <w:numPr>
          <w:ilvl w:val="0"/>
          <w:numId w:val="3"/>
        </w:numPr>
        <w:spacing w:after="50" w:before="50"/>
      </w:pPr>
      <w:r>
        <w:rPr>
          <w:rFonts w:ascii="Arial" w:cs="Arial" w:eastAsia="Arial" w:hAnsi="Arial"/>
          <w:color w:val="0F172A"/>
          <w:sz w:val="22"/>
          <w:szCs w:val="22"/>
        </w:rPr>
        <w:t xml:space="preserve">Build the loyalty discount. After each successful loan repayment, record it on the business profile. Apply a 50bps rate reduction on the next loan for each clean repayment (maximum 200bps reduction).</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Implementation steps — Phase 2 (own the pricing)</w:t>
      </w:r>
    </w:p>
    <w:p>
      <w:pPr>
        <w:spacing w:after="80" w:before="60"/>
      </w:pPr>
      <w:r>
        <w:rPr>
          <w:rFonts w:ascii="Arial" w:cs="Arial" w:eastAsia="Arial" w:hAnsi="Arial"/>
          <w:color w:val="0F172A"/>
          <w:sz w:val="22"/>
          <w:szCs w:val="22"/>
        </w:rPr>
        <w:t xml:space="preserve">When you move from referral to owning the credit product via a BaaS partner (Unit, Treasury Prime), you set rates directly. Use this pricing formula: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360"/>
      </w:tblGrid>
      <w:tr>
        <w:tc>
          <w:tcPr>
            <w:tcW w:type="dxa" w:w="2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Score band</w:t>
            </w:r>
          </w:p>
        </w:tc>
        <w:tc>
          <w:tcPr>
            <w:tcW w:type="dxa" w:w="2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Base rate (APR)</w:t>
            </w:r>
          </w:p>
        </w:tc>
        <w:tc>
          <w:tcPr>
            <w:tcW w:type="dxa" w:w="2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Loyalty discount</w:t>
            </w:r>
          </w:p>
        </w:tc>
        <w:tc>
          <w:tcPr>
            <w:tcW w:type="dxa" w:w="2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Collateral discount</w:t>
            </w:r>
          </w:p>
        </w:tc>
        <w:tc>
          <w:tcPr>
            <w:tcW w:type="dxa" w:w="13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Floor rate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80-100 (excellent)</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18%</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Up to 2%</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Up to 3%</w:t>
            </w:r>
          </w:p>
        </w:tc>
        <w:tc>
          <w:tcPr>
            <w:tcW w:type="dxa" w:w="1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13%</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65-79 (good)</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24%</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Up to 2%</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Up to 3%</w:t>
            </w:r>
          </w:p>
        </w:tc>
        <w:tc>
          <w:tcPr>
            <w:tcW w:type="dxa" w:w="1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19%</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50-64 (fair)</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32%</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Up to 1.5%</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Up to 3%</w:t>
            </w:r>
          </w:p>
        </w:tc>
        <w:tc>
          <w:tcPr>
            <w:tcW w:type="dxa" w:w="1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27.5%</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35-49 (marginal)</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42%</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Up to 1%</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Up to 3%</w:t>
            </w:r>
          </w:p>
        </w:tc>
        <w:tc>
          <w:tcPr>
            <w:tcW w:type="dxa" w:w="1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38%</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Below 35</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Decline or secured only</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w:t>
            </w:r>
          </w:p>
        </w:tc>
        <w:tc>
          <w:tcPr>
            <w:tcW w:type="dxa" w:w="1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APR disclosure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4ED8"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0F172A"/>
                <w:sz w:val="22"/>
                <w:szCs w:val="22"/>
              </w:rPr>
              <w:t xml:space="preserve">Every offer screen must show: Loan amount: Rs X / Principal repayment: Rs Y / Total cost: Rs Z / Equivalent APR: N% / Repayment method: N% of monthly revenue / Estimated repayment period: X-Y months (based on current revenue).</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Success metrics</w:t>
      </w:r>
    </w:p>
    <w:p>
      <w:pPr>
        <w:pStyle w:val="ListParagraph"/>
        <w:numPr>
          <w:ilvl w:val="0"/>
          <w:numId w:val="2"/>
        </w:numPr>
        <w:spacing w:after="50" w:before="50"/>
      </w:pPr>
      <w:r>
        <w:rPr>
          <w:rFonts w:ascii="Arial" w:cs="Arial" w:eastAsia="Arial" w:hAnsi="Arial"/>
          <w:color w:val="0F172A"/>
          <w:sz w:val="22"/>
          <w:szCs w:val="22"/>
        </w:rPr>
        <w:t xml:space="preserve">APR disclosure shown on 100% of offers (regulatory requirement, not a metric — it is a hard gate)</w:t>
      </w:r>
    </w:p>
    <w:p>
      <w:pPr>
        <w:pStyle w:val="ListParagraph"/>
        <w:numPr>
          <w:ilvl w:val="0"/>
          <w:numId w:val="2"/>
        </w:numPr>
        <w:spacing w:after="50" w:before="50"/>
      </w:pPr>
      <w:r>
        <w:rPr>
          <w:rFonts w:ascii="Arial" w:cs="Arial" w:eastAsia="Arial" w:hAnsi="Arial"/>
          <w:color w:val="0F172A"/>
          <w:sz w:val="22"/>
          <w:szCs w:val="22"/>
        </w:rPr>
        <w:t xml:space="preserve">Loyalty borrowers (2+ loans) show &lt; 50% of first-time borrower default rate</w:t>
      </w:r>
    </w:p>
    <w:p>
      <w:pPr>
        <w:pStyle w:val="ListParagraph"/>
        <w:numPr>
          <w:ilvl w:val="0"/>
          <w:numId w:val="2"/>
        </w:numPr>
        <w:spacing w:after="50" w:before="50"/>
      </w:pPr>
      <w:r>
        <w:rPr>
          <w:rFonts w:ascii="Arial" w:cs="Arial" w:eastAsia="Arial" w:hAnsi="Arial"/>
          <w:color w:val="0F172A"/>
          <w:sz w:val="22"/>
          <w:szCs w:val="22"/>
        </w:rPr>
        <w:t xml:space="preserve">Rate routing results in average borrower receiving rate within 3% of theoretically optimal for their score</w:t>
      </w:r>
    </w:p>
    <w:p>
      <w:r>
        <w:br w:type="page"/>
      </w:r>
    </w:p>
    <w:p>
      <w:pPr>
        <w:pStyle w:val="Heading1"/>
        <w:spacing w:after="200" w:before="480"/>
      </w:pPr>
      <w:r>
        <w:rPr>
          <w:rFonts w:ascii="Arial" w:cs="Arial" w:eastAsia="Arial" w:hAnsi="Arial"/>
          <w:b/>
          <w:bCs/>
          <w:color w:val="0F172A"/>
          <w:sz w:val="36"/>
          <w:szCs w:val="36"/>
        </w:rPr>
        <w:t xml:space="preserve">3. Offer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2"/>
                <w:szCs w:val="22"/>
              </w:rPr>
              <w:t xml:space="preserve">Offer design — What you show the borrower and when</w:t>
            </w:r>
          </w:p>
        </w:tc>
        <w:tc>
          <w:tcPr>
            <w:tcW w:type="dxa" w:w="234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pPr>
              <w:jc w:val="center"/>
            </w:pPr>
            <w:r>
              <w:rPr>
                <w:rFonts w:ascii="Arial" w:cs="Arial" w:eastAsia="Arial" w:hAnsi="Arial"/>
                <w:b/>
                <w:bCs/>
                <w:color w:val="DC2626"/>
                <w:sz w:val="22"/>
                <w:szCs w:val="22"/>
              </w:rPr>
              <w:t xml:space="preserve">Current: 40/100</w:t>
            </w:r>
          </w:p>
        </w:tc>
        <w:tc>
          <w:tcPr>
            <w:tcW w:type="dxa" w:w="234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jc w:val="center"/>
            </w:pPr>
            <w:r>
              <w:rPr>
                <w:rFonts w:ascii="Arial" w:cs="Arial" w:eastAsia="Arial" w:hAnsi="Arial"/>
                <w:b/>
                <w:bCs/>
                <w:color w:val="16A34A"/>
                <w:sz w:val="22"/>
                <w:szCs w:val="22"/>
              </w:rPr>
              <w:t xml:space="preserve">Target: 85/100</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Current state — what exists</w:t>
      </w:r>
    </w:p>
    <w:p>
      <w:pPr>
        <w:spacing w:after="80" w:before="60"/>
      </w:pPr>
      <w:r>
        <w:rPr>
          <w:rFonts w:ascii="Arial" w:cs="Arial" w:eastAsia="Arial" w:hAnsi="Arial"/>
          <w:color w:val="0F172A"/>
          <w:sz w:val="22"/>
          <w:szCs w:val="22"/>
        </w:rPr>
        <w:t xml:space="preserve">A single offer is shown when the forecast detects cash going negative within 30 days. The repayment impact simulation exists and is good. The offer shows the product, amount, and the before/after forecast. What is missing is timing, choice architecture, and micro-product coverage.</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1 — Offer timing is reactive, not predictive</w:t>
      </w:r>
    </w:p>
    <w:p>
      <w:pPr>
        <w:spacing w:after="80" w:before="60"/>
      </w:pPr>
      <w:r>
        <w:rPr>
          <w:rFonts w:ascii="Arial" w:cs="Arial" w:eastAsia="Arial" w:hAnsi="Arial"/>
          <w:color w:val="0F172A"/>
          <w:sz w:val="22"/>
          <w:szCs w:val="22"/>
        </w:rPr>
        <w:t xml:space="preserve">Showing the offer when someone is 7 days from going negative is the worst possible moment. They are desperate, they will accept poor terms, and they are statistically more likely to default on loans taken under distress. Show the offer 45-60 days before the projected low point, when the business owner has time to think.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Trigger</w:t>
            </w:r>
          </w:p>
        </w:tc>
        <w:tc>
          <w:tcPr>
            <w:tcW w:type="dxa" w:w="2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Timing</w:t>
            </w:r>
          </w:p>
        </w:tc>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Message tone</w:t>
            </w:r>
          </w:p>
        </w:tc>
        <w:tc>
          <w:tcPr>
            <w:tcW w:type="dxa" w:w="23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Expected take-up</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Forecast shows negative in &lt; 14 days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Too late — emergency mode</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Urgent — fewer options</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High take-up, high default</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Forecast shows negative in 15-30 days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Reactive — current state</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Concerned — act now</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Medium take-up, medium default</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Forecast shows negative in 31-60 days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Proactive — target state</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Calm — plan ahead</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Lower take-up, lower default</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Forecast shows healthy but seasonal dip approaching</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Predictive — ideal state</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Confident — opportunity</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Lowest take-up, lowest default</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2 — Single offer, no choice architecture</w:t>
      </w:r>
    </w:p>
    <w:p>
      <w:pPr>
        <w:spacing w:after="80" w:before="60"/>
      </w:pPr>
      <w:r>
        <w:rPr>
          <w:rFonts w:ascii="Arial" w:cs="Arial" w:eastAsia="Arial" w:hAnsi="Arial"/>
          <w:color w:val="0F172A"/>
          <w:sz w:val="22"/>
          <w:szCs w:val="22"/>
        </w:rPr>
        <w:t xml:space="preserve">Research on consumer and SMB financial decisions consistently shows that offering 3 options increases take-up by 20-35% and improves satisfaction because the borrower feels in control. Build a three-option offer screen: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c>
          <w:tcPr>
            <w:tcW w:type="dxa" w:w="2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Option</w:t>
            </w:r>
          </w:p>
        </w:tc>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Amount</w:t>
            </w:r>
          </w:p>
        </w:tc>
        <w:tc>
          <w:tcPr>
            <w:tcW w:type="dxa" w:w="3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Rationale</w:t>
            </w:r>
          </w:p>
        </w:tc>
        <w:tc>
          <w:tcPr>
            <w:tcW w:type="dxa" w:w="18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Repayment burden</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Conservative</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60% of maximum approved</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Covers the gap only</w:t>
            </w:r>
          </w:p>
        </w:tc>
        <w:tc>
          <w:tcPr>
            <w:tcW w:type="dxa" w:w="1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Lightest — 4-6% of revenue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Standard (recommended)</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80% of maximum approved</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Gap + 30-day buffer</w:t>
            </w:r>
          </w:p>
        </w:tc>
        <w:tc>
          <w:tcPr>
            <w:tcW w:type="dxa" w:w="1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Moderate — 7-9% of revenue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Full access</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100% of maximum approved</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Gap + growth runway</w:t>
            </w:r>
          </w:p>
        </w:tc>
        <w:tc>
          <w:tcPr>
            <w:tcW w:type="dxa" w:w="1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Heaviest — 10-13% of revenue</w:t>
            </w:r>
          </w:p>
        </w:tc>
      </w:tr>
    </w:tbl>
    <w:p>
      <w:pPr>
        <w:spacing w:after="80"/>
      </w:pPr>
      <w:r>
        <w:t xml:space="preserve"/>
      </w:r>
    </w:p>
    <w:p>
      <w:pPr>
        <w:spacing w:after="80" w:before="60"/>
      </w:pPr>
      <w:r>
        <w:rPr>
          <w:rFonts w:ascii="Arial" w:cs="Arial" w:eastAsia="Arial" w:hAnsi="Arial"/>
          <w:color w:val="0F172A"/>
          <w:sz w:val="22"/>
          <w:szCs w:val="22"/>
        </w:rPr>
        <w:t xml:space="preserve">Show all three options with their repayment impact overlaid on the cash flow forecast chart simultaneously. The owner picks their comfort level, not yours.</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3 — No micro-loan tier</w:t>
      </w:r>
    </w:p>
    <w:p>
      <w:pPr>
        <w:spacing w:after="80" w:before="60"/>
      </w:pPr>
      <w:r>
        <w:rPr>
          <w:rFonts w:ascii="Arial" w:cs="Arial" w:eastAsia="Arial" w:hAnsi="Arial"/>
          <w:color w:val="0F172A"/>
          <w:sz w:val="22"/>
          <w:szCs w:val="22"/>
        </w:rPr>
        <w:t xml:space="preserve">A business needing Rs 8,000 to cover a single invoice payment or a $300 gap to make payroll cannot access your minimum offer size. This excludes the smallest, most price-sensitive, most cash-strapped businesses — exactly the ones most likely to become loyal long-term users if you help them through a small crisis early.</w:t>
      </w:r>
    </w:p>
    <w:p>
      <w:pPr>
        <w:pStyle w:val="ListParagraph"/>
        <w:numPr>
          <w:ilvl w:val="0"/>
          <w:numId w:val="2"/>
        </w:numPr>
        <w:spacing w:after="50" w:before="50"/>
      </w:pPr>
      <w:r>
        <w:rPr>
          <w:rFonts w:ascii="Arial" w:cs="Arial" w:eastAsia="Arial" w:hAnsi="Arial"/>
          <w:color w:val="0F172A"/>
          <w:sz w:val="22"/>
          <w:szCs w:val="22"/>
        </w:rPr>
        <w:t xml:space="preserve">Build a micro-loan tier: Rs 5,000 to Rs 50,000 / $100 to $1,000</w:t>
      </w:r>
    </w:p>
    <w:p>
      <w:pPr>
        <w:pStyle w:val="ListParagraph"/>
        <w:numPr>
          <w:ilvl w:val="0"/>
          <w:numId w:val="2"/>
        </w:numPr>
        <w:spacing w:after="50" w:before="50"/>
      </w:pPr>
      <w:r>
        <w:rPr>
          <w:rFonts w:ascii="Arial" w:cs="Arial" w:eastAsia="Arial" w:hAnsi="Arial"/>
          <w:color w:val="0F172A"/>
          <w:sz w:val="22"/>
          <w:szCs w:val="22"/>
        </w:rPr>
        <w:t xml:space="preserve">Use a simplified underwriting: 3 months of data minimum, no industry check, automated decision</w:t>
      </w:r>
    </w:p>
    <w:p>
      <w:pPr>
        <w:pStyle w:val="ListParagraph"/>
        <w:numPr>
          <w:ilvl w:val="0"/>
          <w:numId w:val="2"/>
        </w:numPr>
        <w:spacing w:after="50" w:before="50"/>
      </w:pPr>
      <w:r>
        <w:rPr>
          <w:rFonts w:ascii="Arial" w:cs="Arial" w:eastAsia="Arial" w:hAnsi="Arial"/>
          <w:color w:val="0F172A"/>
          <w:sz w:val="22"/>
          <w:szCs w:val="22"/>
        </w:rPr>
        <w:t xml:space="preserve">Flat fee pricing (not APR — legally simpler for very small amounts): 2-3% flat fee</w:t>
      </w:r>
    </w:p>
    <w:p>
      <w:pPr>
        <w:pStyle w:val="ListParagraph"/>
        <w:numPr>
          <w:ilvl w:val="0"/>
          <w:numId w:val="2"/>
        </w:numPr>
        <w:spacing w:after="50" w:before="50"/>
      </w:pPr>
      <w:r>
        <w:rPr>
          <w:rFonts w:ascii="Arial" w:cs="Arial" w:eastAsia="Arial" w:hAnsi="Arial"/>
          <w:color w:val="0F172A"/>
          <w:sz w:val="22"/>
          <w:szCs w:val="22"/>
        </w:rPr>
        <w:t xml:space="preserve">Repay within 30-60 days from next revenue cycle</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4 — No re-engagement on declined applications</w:t>
      </w:r>
    </w:p>
    <w:p>
      <w:pPr>
        <w:spacing w:after="80" w:before="60"/>
      </w:pPr>
      <w:r>
        <w:rPr>
          <w:rFonts w:ascii="Arial" w:cs="Arial" w:eastAsia="Arial" w:hAnsi="Arial"/>
          <w:color w:val="0F172A"/>
          <w:sz w:val="22"/>
          <w:szCs w:val="22"/>
        </w:rPr>
        <w:t xml:space="preserve">When you decline someone, currently they get nothing. This is a wasted relationship moment. Build a 'not yet' path: tell them exactly what metric is holding them back, show them a progress tracker, and automatically re-check eligibility every 30 days. When they qualify, notify them immediately.</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Success metrics</w:t>
      </w:r>
    </w:p>
    <w:p>
      <w:pPr>
        <w:pStyle w:val="ListParagraph"/>
        <w:numPr>
          <w:ilvl w:val="0"/>
          <w:numId w:val="2"/>
        </w:numPr>
        <w:spacing w:after="50" w:before="50"/>
      </w:pPr>
      <w:r>
        <w:rPr>
          <w:rFonts w:ascii="Arial" w:cs="Arial" w:eastAsia="Arial" w:hAnsi="Arial"/>
          <w:color w:val="0F172A"/>
          <w:sz w:val="22"/>
          <w:szCs w:val="22"/>
        </w:rPr>
        <w:t xml:space="preserve">Average days between offer trigger and projected cash negative event: target &gt; 45 days</w:t>
      </w:r>
    </w:p>
    <w:p>
      <w:pPr>
        <w:pStyle w:val="ListParagraph"/>
        <w:numPr>
          <w:ilvl w:val="0"/>
          <w:numId w:val="2"/>
        </w:numPr>
        <w:spacing w:after="50" w:before="50"/>
      </w:pPr>
      <w:r>
        <w:rPr>
          <w:rFonts w:ascii="Arial" w:cs="Arial" w:eastAsia="Arial" w:hAnsi="Arial"/>
          <w:color w:val="0F172A"/>
          <w:sz w:val="22"/>
          <w:szCs w:val="22"/>
        </w:rPr>
        <w:t xml:space="preserve">Three-option offer take-up vs single offer: target &gt; 20% improvement</w:t>
      </w:r>
    </w:p>
    <w:p>
      <w:pPr>
        <w:pStyle w:val="ListParagraph"/>
        <w:numPr>
          <w:ilvl w:val="0"/>
          <w:numId w:val="2"/>
        </w:numPr>
        <w:spacing w:after="50" w:before="50"/>
      </w:pPr>
      <w:r>
        <w:rPr>
          <w:rFonts w:ascii="Arial" w:cs="Arial" w:eastAsia="Arial" w:hAnsi="Arial"/>
          <w:color w:val="0F172A"/>
          <w:sz w:val="22"/>
          <w:szCs w:val="22"/>
        </w:rPr>
        <w:t xml:space="preserve">Micro-loan conversion rate: target &gt; 40% of applications from businesses with &lt; 6 months history</w:t>
      </w:r>
    </w:p>
    <w:p>
      <w:pPr>
        <w:pStyle w:val="ListParagraph"/>
        <w:numPr>
          <w:ilvl w:val="0"/>
          <w:numId w:val="2"/>
        </w:numPr>
        <w:spacing w:after="50" w:before="50"/>
      </w:pPr>
      <w:r>
        <w:rPr>
          <w:rFonts w:ascii="Arial" w:cs="Arial" w:eastAsia="Arial" w:hAnsi="Arial"/>
          <w:color w:val="0F172A"/>
          <w:sz w:val="22"/>
          <w:szCs w:val="22"/>
        </w:rPr>
        <w:t xml:space="preserve">'Not yet' to 'approved' conversion within 90 days: target &gt; 15%</w:t>
      </w:r>
    </w:p>
    <w:p>
      <w:r>
        <w:br w:type="page"/>
      </w:r>
    </w:p>
    <w:p>
      <w:pPr>
        <w:pStyle w:val="Heading1"/>
        <w:spacing w:after="200" w:before="480"/>
      </w:pPr>
      <w:r>
        <w:rPr>
          <w:rFonts w:ascii="Arial" w:cs="Arial" w:eastAsia="Arial" w:hAnsi="Arial"/>
          <w:b/>
          <w:bCs/>
          <w:color w:val="0F172A"/>
          <w:sz w:val="36"/>
          <w:szCs w:val="36"/>
        </w:rPr>
        <w:t xml:space="preserve">4. Portfolio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2"/>
                <w:szCs w:val="22"/>
              </w:rPr>
              <w:t xml:space="preserve">Portfolio risk management — Managing the total book of loans</w:t>
            </w:r>
          </w:p>
        </w:tc>
        <w:tc>
          <w:tcPr>
            <w:tcW w:type="dxa" w:w="234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pPr>
              <w:jc w:val="center"/>
            </w:pPr>
            <w:r>
              <w:rPr>
                <w:rFonts w:ascii="Arial" w:cs="Arial" w:eastAsia="Arial" w:hAnsi="Arial"/>
                <w:b/>
                <w:bCs/>
                <w:color w:val="DC2626"/>
                <w:sz w:val="22"/>
                <w:szCs w:val="22"/>
              </w:rPr>
              <w:t xml:space="preserve">Current: 15/100</w:t>
            </w:r>
          </w:p>
        </w:tc>
        <w:tc>
          <w:tcPr>
            <w:tcW w:type="dxa" w:w="234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jc w:val="center"/>
            </w:pPr>
            <w:r>
              <w:rPr>
                <w:rFonts w:ascii="Arial" w:cs="Arial" w:eastAsia="Arial" w:hAnsi="Arial"/>
                <w:b/>
                <w:bCs/>
                <w:color w:val="16A34A"/>
                <w:sz w:val="22"/>
                <w:szCs w:val="22"/>
              </w:rPr>
              <w:t xml:space="preserve">Target: 80/100</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Current state — what exists</w:t>
      </w:r>
    </w:p>
    <w:p>
      <w:pPr>
        <w:spacing w:after="80" w:before="60"/>
      </w:pPr>
      <w:r>
        <w:rPr>
          <w:rFonts w:ascii="Arial" w:cs="Arial" w:eastAsia="Arial" w:hAnsi="Arial"/>
          <w:color w:val="0F172A"/>
          <w:sz w:val="22"/>
          <w:szCs w:val="22"/>
        </w:rPr>
        <w:t xml:space="preserve">Nothing exists for portfolio-level risk management. Loans are originated and referred to lender partners, but FlowOS has no system for monitoring the aggregate health of loans it has facilitated, setting concentration limits, or detecting early warning signals in the active book.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C2626" w:val="clear"/>
          </w:tcPr>
          <w:p>
            <w:r>
              <w:t xml:space="preserve"/>
            </w:r>
          </w:p>
        </w:tc>
        <w:tc>
          <w:tcPr>
            <w:tcW w:type="dxa" w:w="9160"/>
            <w:tcBorders>
              <w:top w:val="none" w:color="FFFFFF" w:sz="0"/>
              <w:left w:val="none" w:color="FFFFFF" w:sz="0"/>
              <w:bottom w:val="none" w:color="FFFFFF" w:sz="0"/>
              <w:right w:val="none" w:color="FFFFFF" w:sz="0"/>
            </w:tcBorders>
            <w:shd w:fill="FEF2F2" w:val="clear"/>
            <w:tcMar>
              <w:top w:type="dxa" w:w="120"/>
              <w:left w:type="dxa" w:w="200"/>
              <w:bottom w:type="dxa" w:w="120"/>
              <w:right w:type="dxa" w:w="120"/>
            </w:tcMar>
          </w:tcPr>
          <w:p>
            <w:r>
              <w:rPr>
                <w:rFonts w:ascii="Arial" w:cs="Arial" w:eastAsia="Arial" w:hAnsi="Arial"/>
                <w:color w:val="0F172A"/>
                <w:sz w:val="22"/>
                <w:szCs w:val="22"/>
              </w:rPr>
              <w:t xml:space="preserve">Why this matters even as a referral platform: If your loan portfolio has systemic problems — too many restaurants, too many businesses in one city — your lender partners will notice the default rate and cut off your referral program. You will have no warning because you are not watching.</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1 — No loan loss reserve accounting</w:t>
      </w:r>
    </w:p>
    <w:p>
      <w:pPr>
        <w:spacing w:after="80" w:before="60"/>
      </w:pPr>
      <w:r>
        <w:rPr>
          <w:rFonts w:ascii="Arial" w:cs="Arial" w:eastAsia="Arial" w:hAnsi="Arial"/>
          <w:color w:val="0F172A"/>
          <w:sz w:val="22"/>
          <w:szCs w:val="22"/>
        </w:rPr>
        <w:t xml:space="preserve">Every referral fee you earn has a probability of being clawed back if the loan defaults and the lender's contract includes a clawback clause (many do). You need to reserve a percentage of every referral fee against expected defaults.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Score band</w:t>
            </w:r>
          </w:p>
        </w:tc>
        <w:tc>
          <w:tcPr>
            <w:tcW w:type="dxa" w:w="2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Expected default rate</w:t>
            </w:r>
          </w:p>
        </w:tc>
        <w:tc>
          <w:tcPr>
            <w:tcW w:type="dxa" w:w="2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Reserve rate</w:t>
            </w:r>
          </w:p>
        </w:tc>
        <w:tc>
          <w:tcPr>
            <w:tcW w:type="dxa" w:w="28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Example: Rs 1L loan at 2% fee</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80-100</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2-3%</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5% of fee</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Fee = Rs 2,000 / Reserve = Rs 100</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65-79</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4-6%</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12% of fee</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Fee = Rs 2,000 / Reserve = Rs 240</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50-64</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7-10%</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20% of fee</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Fee = Rs 2,000 / Reserve = Rs 400</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35-49</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11-15%</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35% of fee</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Fee = Rs 2,000 / Reserve = Rs 700</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2 — No concentration limits</w:t>
      </w:r>
    </w:p>
    <w:p>
      <w:pPr>
        <w:spacing w:after="80" w:before="60"/>
      </w:pPr>
      <w:r>
        <w:rPr>
          <w:rFonts w:ascii="Arial" w:cs="Arial" w:eastAsia="Arial" w:hAnsi="Arial"/>
          <w:color w:val="0F172A"/>
          <w:sz w:val="22"/>
          <w:szCs w:val="22"/>
        </w:rPr>
        <w:t xml:space="preserve">Set hard limits on portfolio composition before your first 50 loans. These are the limits that prevent a single sector collapse from destroying your book:</w:t>
      </w:r>
    </w:p>
    <w:p>
      <w:pPr>
        <w:pStyle w:val="ListParagraph"/>
        <w:numPr>
          <w:ilvl w:val="0"/>
          <w:numId w:val="2"/>
        </w:numPr>
        <w:spacing w:after="50" w:before="50"/>
      </w:pPr>
      <w:r>
        <w:rPr>
          <w:rFonts w:ascii="Arial" w:cs="Arial" w:eastAsia="Arial" w:hAnsi="Arial"/>
          <w:color w:val="0F172A"/>
          <w:sz w:val="22"/>
          <w:szCs w:val="22"/>
        </w:rPr>
        <w:t xml:space="preserve">No single industry &gt; 25% of active loan value</w:t>
      </w:r>
    </w:p>
    <w:p>
      <w:pPr>
        <w:pStyle w:val="ListParagraph"/>
        <w:numPr>
          <w:ilvl w:val="0"/>
          <w:numId w:val="2"/>
        </w:numPr>
        <w:spacing w:after="50" w:before="50"/>
      </w:pPr>
      <w:r>
        <w:rPr>
          <w:rFonts w:ascii="Arial" w:cs="Arial" w:eastAsia="Arial" w:hAnsi="Arial"/>
          <w:color w:val="0F172A"/>
          <w:sz w:val="22"/>
          <w:szCs w:val="22"/>
        </w:rPr>
        <w:t xml:space="preserve">No single geography (city/state) &gt; 30% of active loan value</w:t>
      </w:r>
    </w:p>
    <w:p>
      <w:pPr>
        <w:pStyle w:val="ListParagraph"/>
        <w:numPr>
          <w:ilvl w:val="0"/>
          <w:numId w:val="2"/>
        </w:numPr>
        <w:spacing w:after="50" w:before="50"/>
      </w:pPr>
      <w:r>
        <w:rPr>
          <w:rFonts w:ascii="Arial" w:cs="Arial" w:eastAsia="Arial" w:hAnsi="Arial"/>
          <w:color w:val="0F172A"/>
          <w:sz w:val="22"/>
          <w:szCs w:val="22"/>
        </w:rPr>
        <w:t xml:space="preserve">No single lender partner &gt; 40% of loan volume (protects you if a lender exits the program)</w:t>
      </w:r>
    </w:p>
    <w:p>
      <w:pPr>
        <w:pStyle w:val="ListParagraph"/>
        <w:numPr>
          <w:ilvl w:val="0"/>
          <w:numId w:val="2"/>
        </w:numPr>
        <w:spacing w:after="50" w:before="50"/>
      </w:pPr>
      <w:r>
        <w:rPr>
          <w:rFonts w:ascii="Arial" w:cs="Arial" w:eastAsia="Arial" w:hAnsi="Arial"/>
          <w:color w:val="0F172A"/>
          <w:sz w:val="22"/>
          <w:szCs w:val="22"/>
        </w:rPr>
        <w:t xml:space="preserve">No single loan &gt; 5% of total active book value</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3 — No early warning system for active loans</w:t>
      </w:r>
    </w:p>
    <w:p>
      <w:pPr>
        <w:spacing w:after="80" w:before="60"/>
      </w:pPr>
      <w:r>
        <w:rPr>
          <w:rFonts w:ascii="Arial" w:cs="Arial" w:eastAsia="Arial" w:hAnsi="Arial"/>
          <w:color w:val="0F172A"/>
          <w:sz w:val="22"/>
          <w:szCs w:val="22"/>
        </w:rPr>
        <w:t xml:space="preserve">After a loan is disbursed, you should be monitoring the borrower's financial health every week. FlowOS already has the data. You are just not using it post-disbursal.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Signal</w:t>
            </w:r>
          </w:p>
        </w:tc>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Threshold</w:t>
            </w:r>
          </w:p>
        </w:tc>
        <w:tc>
          <w:tcPr>
            <w:tcW w:type="dxa" w:w="43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Action</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Monthly revenue drop</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More than 25% vs loan origination month</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Alert borrower + lender. Offer hardship plan.</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Cash position approaching zero</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Below 2 weeks of expenses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Proactive outreach. Review repayment schedule.</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Overdraft event</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Any single overdraft post-disbursal</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Flag in portfolio dashboard. Risk team review.</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New debt added</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Any new loan or credit card debt</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Review debt service ratio. May trigger covenant breach.</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Key customer lost</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Top customer stops appearing in transactions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Critical alert. Immediate outreach.</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4 — No covenant structure</w:t>
      </w:r>
    </w:p>
    <w:p>
      <w:pPr>
        <w:spacing w:after="80" w:before="60"/>
      </w:pPr>
      <w:r>
        <w:rPr>
          <w:rFonts w:ascii="Arial" w:cs="Arial" w:eastAsia="Arial" w:hAnsi="Arial"/>
          <w:color w:val="0F172A"/>
          <w:sz w:val="22"/>
          <w:szCs w:val="22"/>
        </w:rPr>
        <w:t xml:space="preserve">Every loan agreement should include three baseline covenants:</w:t>
      </w:r>
    </w:p>
    <w:p>
      <w:pPr>
        <w:pStyle w:val="ListParagraph"/>
        <w:numPr>
          <w:ilvl w:val="0"/>
          <w:numId w:val="3"/>
        </w:numPr>
        <w:spacing w:after="50" w:before="50"/>
      </w:pPr>
      <w:r>
        <w:rPr>
          <w:rFonts w:ascii="Arial" w:cs="Arial" w:eastAsia="Arial" w:hAnsi="Arial"/>
          <w:color w:val="0F172A"/>
          <w:sz w:val="22"/>
          <w:szCs w:val="22"/>
        </w:rPr>
        <w:t xml:space="preserve">Minimum revenue covenant: monthly revenue must not fall below 60% of the revenue at loan origination for more than 2 consecutive months.</w:t>
      </w:r>
    </w:p>
    <w:p>
      <w:pPr>
        <w:pStyle w:val="ListParagraph"/>
        <w:numPr>
          <w:ilvl w:val="0"/>
          <w:numId w:val="3"/>
        </w:numPr>
        <w:spacing w:after="50" w:before="50"/>
      </w:pPr>
      <w:r>
        <w:rPr>
          <w:rFonts w:ascii="Arial" w:cs="Arial" w:eastAsia="Arial" w:hAnsi="Arial"/>
          <w:color w:val="0F172A"/>
          <w:sz w:val="22"/>
          <w:szCs w:val="22"/>
        </w:rPr>
        <w:t xml:space="preserve">Additional debt covenant: borrower may not take on additional debt exceeding 20% of their approved loan amount without lender consent.</w:t>
      </w:r>
    </w:p>
    <w:p>
      <w:pPr>
        <w:pStyle w:val="ListParagraph"/>
        <w:numPr>
          <w:ilvl w:val="0"/>
          <w:numId w:val="3"/>
        </w:numPr>
        <w:spacing w:after="50" w:before="50"/>
      </w:pPr>
      <w:r>
        <w:rPr>
          <w:rFonts w:ascii="Arial" w:cs="Arial" w:eastAsia="Arial" w:hAnsi="Arial"/>
          <w:color w:val="0F172A"/>
          <w:sz w:val="22"/>
          <w:szCs w:val="22"/>
        </w:rPr>
        <w:t xml:space="preserve">Account maintenance covenant: borrower must maintain their primary bank account connected to FlowOS for the duration of the loan.</w:t>
      </w:r>
    </w:p>
    <w:p>
      <w:pPr>
        <w:spacing w:after="80" w:before="60"/>
      </w:pPr>
      <w:r>
        <w:rPr>
          <w:rFonts w:ascii="Arial" w:cs="Arial" w:eastAsia="Arial" w:hAnsi="Arial"/>
          <w:color w:val="0F172A"/>
          <w:sz w:val="22"/>
          <w:szCs w:val="22"/>
        </w:rPr>
        <w:t xml:space="preserve">Covenant breach is not immediate default — it triggers a review conversation. This gives you early intervention rights before a borrower is in actual distress.</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Success metrics</w:t>
      </w:r>
    </w:p>
    <w:p>
      <w:pPr>
        <w:pStyle w:val="ListParagraph"/>
        <w:numPr>
          <w:ilvl w:val="0"/>
          <w:numId w:val="2"/>
        </w:numPr>
        <w:spacing w:after="50" w:before="50"/>
      </w:pPr>
      <w:r>
        <w:rPr>
          <w:rFonts w:ascii="Arial" w:cs="Arial" w:eastAsia="Arial" w:hAnsi="Arial"/>
          <w:color w:val="0F172A"/>
          <w:sz w:val="22"/>
          <w:szCs w:val="22"/>
        </w:rPr>
        <w:t xml:space="preserve">Portfolio dashboard live within 30 days of first loan disbursal</w:t>
      </w:r>
    </w:p>
    <w:p>
      <w:pPr>
        <w:pStyle w:val="ListParagraph"/>
        <w:numPr>
          <w:ilvl w:val="0"/>
          <w:numId w:val="2"/>
        </w:numPr>
        <w:spacing w:after="50" w:before="50"/>
      </w:pPr>
      <w:r>
        <w:rPr>
          <w:rFonts w:ascii="Arial" w:cs="Arial" w:eastAsia="Arial" w:hAnsi="Arial"/>
          <w:color w:val="0F172A"/>
          <w:sz w:val="22"/>
          <w:szCs w:val="22"/>
        </w:rPr>
        <w:t xml:space="preserve">Concentration limits enforced: no industry or geography exceeds defined caps</w:t>
      </w:r>
    </w:p>
    <w:p>
      <w:pPr>
        <w:pStyle w:val="ListParagraph"/>
        <w:numPr>
          <w:ilvl w:val="0"/>
          <w:numId w:val="2"/>
        </w:numPr>
        <w:spacing w:after="50" w:before="50"/>
      </w:pPr>
      <w:r>
        <w:rPr>
          <w:rFonts w:ascii="Arial" w:cs="Arial" w:eastAsia="Arial" w:hAnsi="Arial"/>
          <w:color w:val="0F172A"/>
          <w:sz w:val="22"/>
          <w:szCs w:val="22"/>
        </w:rPr>
        <w:t xml:space="preserve">Early warning system catches 80% of defaults 45+ days before missed payment</w:t>
      </w:r>
    </w:p>
    <w:p>
      <w:pPr>
        <w:pStyle w:val="ListParagraph"/>
        <w:numPr>
          <w:ilvl w:val="0"/>
          <w:numId w:val="2"/>
        </w:numPr>
        <w:spacing w:after="50" w:before="50"/>
      </w:pPr>
      <w:r>
        <w:rPr>
          <w:rFonts w:ascii="Arial" w:cs="Arial" w:eastAsia="Arial" w:hAnsi="Arial"/>
          <w:color w:val="0F172A"/>
          <w:sz w:val="22"/>
          <w:szCs w:val="22"/>
        </w:rPr>
        <w:t xml:space="preserve">Reserve fund covers actual clawback liability within 10% accuracy</w:t>
      </w:r>
    </w:p>
    <w:p>
      <w:r>
        <w:br w:type="page"/>
      </w:r>
    </w:p>
    <w:p>
      <w:pPr>
        <w:pStyle w:val="Heading1"/>
        <w:spacing w:after="200" w:before="480"/>
      </w:pPr>
      <w:r>
        <w:rPr>
          <w:rFonts w:ascii="Arial" w:cs="Arial" w:eastAsia="Arial" w:hAnsi="Arial"/>
          <w:b/>
          <w:bCs/>
          <w:color w:val="0F172A"/>
          <w:sz w:val="36"/>
          <w:szCs w:val="36"/>
        </w:rPr>
        <w:t xml:space="preserve">5. Collections and Servicing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2"/>
                <w:szCs w:val="22"/>
              </w:rPr>
              <w:t xml:space="preserve">Collections and servicing — What happens when repayment fails</w:t>
            </w:r>
          </w:p>
        </w:tc>
        <w:tc>
          <w:tcPr>
            <w:tcW w:type="dxa" w:w="234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pPr>
              <w:jc w:val="center"/>
            </w:pPr>
            <w:r>
              <w:rPr>
                <w:rFonts w:ascii="Arial" w:cs="Arial" w:eastAsia="Arial" w:hAnsi="Arial"/>
                <w:b/>
                <w:bCs/>
                <w:color w:val="DC2626"/>
                <w:sz w:val="22"/>
                <w:szCs w:val="22"/>
              </w:rPr>
              <w:t xml:space="preserve">Current: 0/100</w:t>
            </w:r>
          </w:p>
        </w:tc>
        <w:tc>
          <w:tcPr>
            <w:tcW w:type="dxa" w:w="234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jc w:val="center"/>
            </w:pPr>
            <w:r>
              <w:rPr>
                <w:rFonts w:ascii="Arial" w:cs="Arial" w:eastAsia="Arial" w:hAnsi="Arial"/>
                <w:b/>
                <w:bCs/>
                <w:color w:val="16A34A"/>
                <w:sz w:val="22"/>
                <w:szCs w:val="22"/>
              </w:rPr>
              <w:t xml:space="preserve">Target: 85/100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C2626" w:val="clear"/>
          </w:tcPr>
          <w:p>
            <w:r>
              <w:t xml:space="preserve"/>
            </w:r>
          </w:p>
        </w:tc>
        <w:tc>
          <w:tcPr>
            <w:tcW w:type="dxa" w:w="9160"/>
            <w:tcBorders>
              <w:top w:val="none" w:color="FFFFFF" w:sz="0"/>
              <w:left w:val="none" w:color="FFFFFF" w:sz="0"/>
              <w:bottom w:val="none" w:color="FFFFFF" w:sz="0"/>
              <w:right w:val="none" w:color="FFFFFF" w:sz="0"/>
            </w:tcBorders>
            <w:shd w:fill="FEF2F2" w:val="clear"/>
            <w:tcMar>
              <w:top w:type="dxa" w:w="120"/>
              <w:left w:type="dxa" w:w="200"/>
              <w:bottom w:type="dxa" w:w="120"/>
              <w:right w:type="dxa" w:w="120"/>
            </w:tcMar>
          </w:tcPr>
          <w:p>
            <w:r>
              <w:rPr>
                <w:rFonts w:ascii="Arial" w:cs="Arial" w:eastAsia="Arial" w:hAnsi="Arial"/>
                <w:color w:val="0F172A"/>
                <w:sz w:val="22"/>
                <w:szCs w:val="22"/>
              </w:rPr>
              <w:t xml:space="preserve">This is the most dangerous gap in the entire credit engine. You have a score of zero because nothing has been designed. You cannot go live with any credit product without a collections process. This is not optional.</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The complete collections cascade</w:t>
      </w:r>
    </w:p>
    <w:p>
      <w:pPr>
        <w:spacing w:after="80" w:before="60"/>
      </w:pPr>
      <w:r>
        <w:rPr>
          <w:rFonts w:ascii="Arial" w:cs="Arial" w:eastAsia="Arial" w:hAnsi="Arial"/>
          <w:color w:val="0F172A"/>
          <w:sz w:val="22"/>
          <w:szCs w:val="22"/>
        </w:rPr>
        <w:t xml:space="preserve">Every missed or late payment should trigger a defined sequence of escalating actions. Build this as a state machine — each borrower moves through states automatically.</w:t>
      </w:r>
    </w:p>
    <w:p>
      <w:pPr>
        <w:spacing w:after="80"/>
      </w:pPr>
      <w:r>
        <w:t xml:space="preserve"/>
      </w:r>
    </w:p>
    <w:p>
      <w:pPr>
        <w:pStyle w:val="Heading3"/>
        <w:spacing w:after="100" w:before="240"/>
      </w:pPr>
      <w:r>
        <w:rPr>
          <w:rFonts w:ascii="Arial" w:cs="Arial" w:eastAsia="Arial" w:hAnsi="Arial"/>
          <w:b/>
          <w:bCs/>
          <w:color w:val="0F172A"/>
          <w:sz w:val="24"/>
          <w:szCs w:val="24"/>
        </w:rPr>
        <w:t xml:space="preserve">Stage 0 — Prevention (Day -7 to Day 0)</w:t>
      </w:r>
    </w:p>
    <w:p>
      <w:pPr>
        <w:spacing w:after="80" w:before="60"/>
      </w:pPr>
      <w:r>
        <w:rPr>
          <w:rFonts w:ascii="Arial" w:cs="Arial" w:eastAsia="Arial" w:hAnsi="Arial"/>
          <w:color w:val="0F172A"/>
          <w:sz w:val="22"/>
          <w:szCs w:val="22"/>
        </w:rPr>
        <w:t xml:space="preserve">Seven days before a scheduled repayment, check the borrower's current cash position. If they will not have enough to cover the repayment:</w:t>
      </w:r>
    </w:p>
    <w:p>
      <w:pPr>
        <w:pStyle w:val="ListParagraph"/>
        <w:numPr>
          <w:ilvl w:val="0"/>
          <w:numId w:val="2"/>
        </w:numPr>
        <w:spacing w:after="50" w:before="50"/>
      </w:pPr>
      <w:r>
        <w:rPr>
          <w:rFonts w:ascii="Arial" w:cs="Arial" w:eastAsia="Arial" w:hAnsi="Arial"/>
          <w:color w:val="0F172A"/>
          <w:sz w:val="22"/>
          <w:szCs w:val="22"/>
        </w:rPr>
        <w:t xml:space="preserve">Send an in-app and email notification: 'Your next repayment of Rs X is in 7 days. Your current balance suggests this may be tight. Tap here to review options.'</w:t>
      </w:r>
    </w:p>
    <w:p>
      <w:pPr>
        <w:pStyle w:val="ListParagraph"/>
        <w:numPr>
          <w:ilvl w:val="0"/>
          <w:numId w:val="2"/>
        </w:numPr>
        <w:spacing w:after="50" w:before="50"/>
      </w:pPr>
      <w:r>
        <w:rPr>
          <w:rFonts w:ascii="Arial" w:cs="Arial" w:eastAsia="Arial" w:hAnsi="Arial"/>
          <w:color w:val="0F172A"/>
          <w:sz w:val="22"/>
          <w:szCs w:val="22"/>
        </w:rPr>
        <w:t xml:space="preserve">Offer a one-time payment smoothing: reduce this month's repayment by up to 30%, extending the total repayment by the equivalent amount. Requires no human intervention.</w:t>
      </w:r>
    </w:p>
    <w:p>
      <w:pPr>
        <w:pStyle w:val="ListParagraph"/>
        <w:numPr>
          <w:ilvl w:val="0"/>
          <w:numId w:val="2"/>
        </w:numPr>
        <w:spacing w:after="50" w:before="50"/>
      </w:pPr>
      <w:r>
        <w:rPr>
          <w:rFonts w:ascii="Arial" w:cs="Arial" w:eastAsia="Arial" w:hAnsi="Arial"/>
          <w:color w:val="0F172A"/>
          <w:sz w:val="22"/>
          <w:szCs w:val="22"/>
        </w:rPr>
        <w:t xml:space="preserve">Flag for customer success team review if the gap is more than 40% of required payment</w:t>
      </w:r>
    </w:p>
    <w:p>
      <w:pPr>
        <w:spacing w:after="80"/>
      </w:pPr>
      <w:r>
        <w:t xml:space="preserve"/>
      </w:r>
    </w:p>
    <w:p>
      <w:pPr>
        <w:pStyle w:val="Heading3"/>
        <w:spacing w:after="100" w:before="240"/>
      </w:pPr>
      <w:r>
        <w:rPr>
          <w:rFonts w:ascii="Arial" w:cs="Arial" w:eastAsia="Arial" w:hAnsi="Arial"/>
          <w:b/>
          <w:bCs/>
          <w:color w:val="0F172A"/>
          <w:sz w:val="24"/>
          <w:szCs w:val="24"/>
        </w:rPr>
        <w:t xml:space="preserve">Stage 1 — Missed payment (Day 1-7)</w:t>
      </w:r>
    </w:p>
    <w:p>
      <w:pPr>
        <w:pStyle w:val="ListParagraph"/>
        <w:numPr>
          <w:ilvl w:val="0"/>
          <w:numId w:val="2"/>
        </w:numPr>
        <w:spacing w:after="50" w:before="50"/>
      </w:pPr>
      <w:r>
        <w:rPr>
          <w:rFonts w:ascii="Arial" w:cs="Arial" w:eastAsia="Arial" w:hAnsi="Arial"/>
          <w:color w:val="0F172A"/>
          <w:sz w:val="22"/>
          <w:szCs w:val="22"/>
        </w:rPr>
        <w:t xml:space="preserve">Day 1: Automated in-app notification + email. Tone: informational, not accusatory.</w:t>
      </w:r>
    </w:p>
    <w:p>
      <w:pPr>
        <w:pStyle w:val="ListParagraph"/>
        <w:numPr>
          <w:ilvl w:val="0"/>
          <w:numId w:val="2"/>
        </w:numPr>
        <w:spacing w:after="50" w:before="50"/>
      </w:pPr>
      <w:r>
        <w:rPr>
          <w:rFonts w:ascii="Arial" w:cs="Arial" w:eastAsia="Arial" w:hAnsi="Arial"/>
          <w:color w:val="0F172A"/>
          <w:sz w:val="22"/>
          <w:szCs w:val="22"/>
        </w:rPr>
        <w:t xml:space="preserve">Day 3: Follow-up email with hardship form link. Ask: 'Is there a temporary situation affecting your business? We have options.'</w:t>
      </w:r>
    </w:p>
    <w:p>
      <w:pPr>
        <w:pStyle w:val="ListParagraph"/>
        <w:numPr>
          <w:ilvl w:val="0"/>
          <w:numId w:val="2"/>
        </w:numPr>
        <w:spacing w:after="50" w:before="50"/>
      </w:pPr>
      <w:r>
        <w:rPr>
          <w:rFonts w:ascii="Arial" w:cs="Arial" w:eastAsia="Arial" w:hAnsi="Arial"/>
          <w:color w:val="0F172A"/>
          <w:sz w:val="22"/>
          <w:szCs w:val="22"/>
        </w:rPr>
        <w:t xml:space="preserve">Day 5: Customer success team personal outreach — phone or WhatsApp (India).</w:t>
      </w:r>
    </w:p>
    <w:p>
      <w:pPr>
        <w:pStyle w:val="ListParagraph"/>
        <w:numPr>
          <w:ilvl w:val="0"/>
          <w:numId w:val="2"/>
        </w:numPr>
        <w:spacing w:after="50" w:before="50"/>
      </w:pPr>
      <w:r>
        <w:rPr>
          <w:rFonts w:ascii="Arial" w:cs="Arial" w:eastAsia="Arial" w:hAnsi="Arial"/>
          <w:color w:val="0F172A"/>
          <w:sz w:val="22"/>
          <w:szCs w:val="22"/>
        </w:rPr>
        <w:t xml:space="preserve">Day 7: Formal missed payment notice sent to both borrower and lender partner.</w:t>
      </w:r>
    </w:p>
    <w:p>
      <w:pPr>
        <w:spacing w:after="80"/>
      </w:pPr>
      <w:r>
        <w:t xml:space="preserve"/>
      </w:r>
    </w:p>
    <w:p>
      <w:pPr>
        <w:pStyle w:val="Heading3"/>
        <w:spacing w:after="100" w:before="240"/>
      </w:pPr>
      <w:r>
        <w:rPr>
          <w:rFonts w:ascii="Arial" w:cs="Arial" w:eastAsia="Arial" w:hAnsi="Arial"/>
          <w:b/>
          <w:bCs/>
          <w:color w:val="0F172A"/>
          <w:sz w:val="24"/>
          <w:szCs w:val="24"/>
        </w:rPr>
        <w:t xml:space="preserve">Stage 2 — Hardship / forbearance (Day 8-60)</w:t>
      </w:r>
    </w:p>
    <w:p>
      <w:pPr>
        <w:spacing w:after="80" w:before="60"/>
      </w:pPr>
      <w:r>
        <w:rPr>
          <w:rFonts w:ascii="Arial" w:cs="Arial" w:eastAsia="Arial" w:hAnsi="Arial"/>
          <w:color w:val="0F172A"/>
          <w:sz w:val="22"/>
          <w:szCs w:val="22"/>
        </w:rPr>
        <w:t xml:space="preserve">A borrower who communicates genuine temporary distress should have access to a structured forbearance plan without requiring lender approval for standard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360"/>
      </w:tblGrid>
      <w:tr>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Hardship type</w:t>
            </w:r>
          </w:p>
        </w:tc>
        <w:tc>
          <w:tcPr>
            <w:tcW w:type="dxa" w:w="3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FlowOS response</w:t>
            </w:r>
          </w:p>
        </w:tc>
        <w:tc>
          <w:tcPr>
            <w:tcW w:type="dxa" w:w="1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Duration</w:t>
            </w:r>
          </w:p>
        </w:tc>
        <w:tc>
          <w:tcPr>
            <w:tcW w:type="dxa" w:w="23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Impact on loan</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Revenue drop &gt; 30%</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Pause repayment, interest-only</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Up to 60 days</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Extends term by pause duration</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Key customer lost</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Reduce repayment 50%</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Up to 90 days</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Extends term by 2x reduction period</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Medical / personal emergency</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Full pause</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Up to 30 days</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Extends term, no fee</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Seasonal cash flow dip</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Reduce to minimum payment</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Up to 60 days</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Extends term by shortfall</w:t>
            </w:r>
          </w:p>
        </w:tc>
      </w:tr>
    </w:tbl>
    <w:p>
      <w:pPr>
        <w:spacing w:after="80"/>
      </w:pPr>
      <w:r>
        <w:t xml:space="preserve"/>
      </w:r>
    </w:p>
    <w:p>
      <w:pPr>
        <w:pStyle w:val="Heading3"/>
        <w:spacing w:after="100" w:before="240"/>
      </w:pPr>
      <w:r>
        <w:rPr>
          <w:rFonts w:ascii="Arial" w:cs="Arial" w:eastAsia="Arial" w:hAnsi="Arial"/>
          <w:b/>
          <w:bCs/>
          <w:color w:val="0F172A"/>
          <w:sz w:val="24"/>
          <w:szCs w:val="24"/>
        </w:rPr>
        <w:t xml:space="preserve">Stage 3 — Collections escalation (Day 61-120)</w:t>
      </w:r>
    </w:p>
    <w:p>
      <w:pPr>
        <w:pStyle w:val="ListParagraph"/>
        <w:numPr>
          <w:ilvl w:val="0"/>
          <w:numId w:val="2"/>
        </w:numPr>
        <w:spacing w:after="50" w:before="50"/>
      </w:pPr>
      <w:r>
        <w:rPr>
          <w:rFonts w:ascii="Arial" w:cs="Arial" w:eastAsia="Arial" w:hAnsi="Arial"/>
          <w:color w:val="0F172A"/>
          <w:sz w:val="22"/>
          <w:szCs w:val="22"/>
        </w:rPr>
        <w:t xml:space="preserve">Day 61: Formal demand notice via registered email. Lender partner notified.</w:t>
      </w:r>
    </w:p>
    <w:p>
      <w:pPr>
        <w:pStyle w:val="ListParagraph"/>
        <w:numPr>
          <w:ilvl w:val="0"/>
          <w:numId w:val="2"/>
        </w:numPr>
        <w:spacing w:after="50" w:before="50"/>
      </w:pPr>
      <w:r>
        <w:rPr>
          <w:rFonts w:ascii="Arial" w:cs="Arial" w:eastAsia="Arial" w:hAnsi="Arial"/>
          <w:color w:val="0F172A"/>
          <w:sz w:val="22"/>
          <w:szCs w:val="22"/>
        </w:rPr>
        <w:t xml:space="preserve">Day 75: CIBIL / Experian reporting (India) or equivalent credit bureau reporting. This is the most powerful collections lever — most SMB owners will act before this.</w:t>
      </w:r>
    </w:p>
    <w:p>
      <w:pPr>
        <w:pStyle w:val="ListParagraph"/>
        <w:numPr>
          <w:ilvl w:val="0"/>
          <w:numId w:val="2"/>
        </w:numPr>
        <w:spacing w:after="50" w:before="50"/>
      </w:pPr>
      <w:r>
        <w:rPr>
          <w:rFonts w:ascii="Arial" w:cs="Arial" w:eastAsia="Arial" w:hAnsi="Arial"/>
          <w:color w:val="0F172A"/>
          <w:sz w:val="22"/>
          <w:szCs w:val="22"/>
        </w:rPr>
        <w:t xml:space="preserve">Day 90: Hand off to external collections partner. Build a relationship with 2-3 collections agencies before going live. Never chase borrowers yourself.</w:t>
      </w:r>
    </w:p>
    <w:p>
      <w:pPr>
        <w:pStyle w:val="ListParagraph"/>
        <w:numPr>
          <w:ilvl w:val="0"/>
          <w:numId w:val="2"/>
        </w:numPr>
        <w:spacing w:after="50" w:before="50"/>
      </w:pPr>
      <w:r>
        <w:rPr>
          <w:rFonts w:ascii="Arial" w:cs="Arial" w:eastAsia="Arial" w:hAnsi="Arial"/>
          <w:color w:val="0F172A"/>
          <w:sz w:val="22"/>
          <w:szCs w:val="22"/>
        </w:rPr>
        <w:t xml:space="preserve">Day 120: Legal demand if outstanding balance exceeds Rs 50,000 / $1,000. Have a legal firm on retainer — you will need them.</w:t>
      </w:r>
    </w:p>
    <w:p>
      <w:pPr>
        <w:spacing w:after="80"/>
      </w:pPr>
      <w:r>
        <w:t xml:space="preserve"/>
      </w:r>
    </w:p>
    <w:p>
      <w:pPr>
        <w:pStyle w:val="Heading3"/>
        <w:spacing w:after="100" w:before="240"/>
      </w:pPr>
      <w:r>
        <w:rPr>
          <w:rFonts w:ascii="Arial" w:cs="Arial" w:eastAsia="Arial" w:hAnsi="Arial"/>
          <w:b/>
          <w:bCs/>
          <w:color w:val="0F172A"/>
          <w:sz w:val="24"/>
          <w:szCs w:val="24"/>
        </w:rPr>
        <w:t xml:space="preserve">Stage 4 — Charge-off (Day 121+)</w:t>
      </w:r>
    </w:p>
    <w:p>
      <w:pPr>
        <w:pStyle w:val="ListParagraph"/>
        <w:numPr>
          <w:ilvl w:val="0"/>
          <w:numId w:val="2"/>
        </w:numPr>
        <w:spacing w:after="50" w:before="50"/>
      </w:pPr>
      <w:r>
        <w:rPr>
          <w:rFonts w:ascii="Arial" w:cs="Arial" w:eastAsia="Arial" w:hAnsi="Arial"/>
          <w:color w:val="0F172A"/>
          <w:sz w:val="22"/>
          <w:szCs w:val="22"/>
        </w:rPr>
        <w:t xml:space="preserve">Write off the referral fee from reserves. Do not write off the loan — that is the lender's decision.</w:t>
      </w:r>
    </w:p>
    <w:p>
      <w:pPr>
        <w:pStyle w:val="ListParagraph"/>
        <w:numPr>
          <w:ilvl w:val="0"/>
          <w:numId w:val="2"/>
        </w:numPr>
        <w:spacing w:after="50" w:before="50"/>
      </w:pPr>
      <w:r>
        <w:rPr>
          <w:rFonts w:ascii="Arial" w:cs="Arial" w:eastAsia="Arial" w:hAnsi="Arial"/>
          <w:color w:val="0F172A"/>
          <w:sz w:val="22"/>
          <w:szCs w:val="22"/>
        </w:rPr>
        <w:t xml:space="preserve">Flag business in FlowOS system: ineligible for future credit for 24 months.</w:t>
      </w:r>
    </w:p>
    <w:p>
      <w:pPr>
        <w:pStyle w:val="ListParagraph"/>
        <w:numPr>
          <w:ilvl w:val="0"/>
          <w:numId w:val="2"/>
        </w:numPr>
        <w:spacing w:after="50" w:before="50"/>
      </w:pPr>
      <w:r>
        <w:rPr>
          <w:rFonts w:ascii="Arial" w:cs="Arial" w:eastAsia="Arial" w:hAnsi="Arial"/>
          <w:color w:val="0F172A"/>
          <w:sz w:val="22"/>
          <w:szCs w:val="22"/>
        </w:rPr>
        <w:t xml:space="preserve">Review: was this a predictable default? Update underwriting model accordingly.</w:t>
      </w:r>
    </w:p>
    <w:p>
      <w:pPr>
        <w:pStyle w:val="ListParagraph"/>
        <w:numPr>
          <w:ilvl w:val="0"/>
          <w:numId w:val="2"/>
        </w:numPr>
        <w:spacing w:after="50" w:before="50"/>
      </w:pPr>
      <w:r>
        <w:rPr>
          <w:rFonts w:ascii="Arial" w:cs="Arial" w:eastAsia="Arial" w:hAnsi="Arial"/>
          <w:color w:val="0F172A"/>
          <w:sz w:val="22"/>
          <w:szCs w:val="22"/>
        </w:rPr>
        <w:t xml:space="preserve">Report to lender partner with full timeline and actions taken.</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Hardship team structure</w:t>
      </w:r>
    </w:p>
    <w:p>
      <w:pPr>
        <w:spacing w:after="80" w:before="60"/>
      </w:pPr>
      <w:r>
        <w:rPr>
          <w:rFonts w:ascii="Arial" w:cs="Arial" w:eastAsia="Arial" w:hAnsi="Arial"/>
          <w:color w:val="0F172A"/>
          <w:sz w:val="22"/>
          <w:szCs w:val="22"/>
        </w:rPr>
        <w:t xml:space="preserve">You need one dedicated role from day one: a Collections and Hardship Specialist. This is not a debt collector — it is someone whose entire job is keeping borrowers in good standing through relationship and creative problem-solving. Hire someone with banking or microfinance background.</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Technology requirements</w:t>
      </w:r>
    </w:p>
    <w:p>
      <w:pPr>
        <w:pStyle w:val="ListParagraph"/>
        <w:numPr>
          <w:ilvl w:val="0"/>
          <w:numId w:val="2"/>
        </w:numPr>
        <w:spacing w:after="50" w:before="50"/>
      </w:pPr>
      <w:r>
        <w:rPr>
          <w:rFonts w:ascii="Arial" w:cs="Arial" w:eastAsia="Arial" w:hAnsi="Arial"/>
          <w:color w:val="0F172A"/>
          <w:sz w:val="22"/>
          <w:szCs w:val="22"/>
        </w:rPr>
        <w:t xml:space="preserve">Loan servicing state machine: build in your backend as a cron-triggered state evaluator</w:t>
      </w:r>
    </w:p>
    <w:p>
      <w:pPr>
        <w:pStyle w:val="ListParagraph"/>
        <w:numPr>
          <w:ilvl w:val="0"/>
          <w:numId w:val="2"/>
        </w:numPr>
        <w:spacing w:after="50" w:before="50"/>
      </w:pPr>
      <w:r>
        <w:rPr>
          <w:rFonts w:ascii="Arial" w:cs="Arial" w:eastAsia="Arial" w:hAnsi="Arial"/>
          <w:color w:val="0F172A"/>
          <w:sz w:val="22"/>
          <w:szCs w:val="22"/>
        </w:rPr>
        <w:t xml:space="preserve">Communication templates: 12 email templates + 6 WhatsApp message templates for each stage</w:t>
      </w:r>
    </w:p>
    <w:p>
      <w:pPr>
        <w:pStyle w:val="ListParagraph"/>
        <w:numPr>
          <w:ilvl w:val="0"/>
          <w:numId w:val="2"/>
        </w:numPr>
        <w:spacing w:after="50" w:before="50"/>
      </w:pPr>
      <w:r>
        <w:rPr>
          <w:rFonts w:ascii="Arial" w:cs="Arial" w:eastAsia="Arial" w:hAnsi="Arial"/>
          <w:color w:val="0F172A"/>
          <w:sz w:val="22"/>
          <w:szCs w:val="22"/>
        </w:rPr>
        <w:t xml:space="preserve">Collections partner API integration: most Indian collections agencies (Credgenics, Legalpay) have APIs</w:t>
      </w:r>
    </w:p>
    <w:p>
      <w:pPr>
        <w:pStyle w:val="ListParagraph"/>
        <w:numPr>
          <w:ilvl w:val="0"/>
          <w:numId w:val="2"/>
        </w:numPr>
        <w:spacing w:after="50" w:before="50"/>
      </w:pPr>
      <w:r>
        <w:rPr>
          <w:rFonts w:ascii="Arial" w:cs="Arial" w:eastAsia="Arial" w:hAnsi="Arial"/>
          <w:color w:val="0F172A"/>
          <w:sz w:val="22"/>
          <w:szCs w:val="22"/>
        </w:rPr>
        <w:t xml:space="preserve">CIBIL reporting API: register as a Credit Institution with TransUnion CIBIL before first disbursal</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Success metrics</w:t>
      </w:r>
    </w:p>
    <w:p>
      <w:pPr>
        <w:pStyle w:val="ListParagraph"/>
        <w:numPr>
          <w:ilvl w:val="0"/>
          <w:numId w:val="2"/>
        </w:numPr>
        <w:spacing w:after="50" w:before="50"/>
      </w:pPr>
      <w:r>
        <w:rPr>
          <w:rFonts w:ascii="Arial" w:cs="Arial" w:eastAsia="Arial" w:hAnsi="Arial"/>
          <w:color w:val="0F172A"/>
          <w:sz w:val="22"/>
          <w:szCs w:val="22"/>
        </w:rPr>
        <w:t xml:space="preserve">Stage 0 prevention reduces missed payments by &gt; 30% vs no prevention system</w:t>
      </w:r>
    </w:p>
    <w:p>
      <w:pPr>
        <w:pStyle w:val="ListParagraph"/>
        <w:numPr>
          <w:ilvl w:val="0"/>
          <w:numId w:val="2"/>
        </w:numPr>
        <w:spacing w:after="50" w:before="50"/>
      </w:pPr>
      <w:r>
        <w:rPr>
          <w:rFonts w:ascii="Arial" w:cs="Arial" w:eastAsia="Arial" w:hAnsi="Arial"/>
          <w:color w:val="0F172A"/>
          <w:sz w:val="22"/>
          <w:szCs w:val="22"/>
        </w:rPr>
        <w:t xml:space="preserve">Hardship uptake among distressed borrowers: target &gt; 50% (shows the system is working)</w:t>
      </w:r>
    </w:p>
    <w:p>
      <w:pPr>
        <w:pStyle w:val="ListParagraph"/>
        <w:numPr>
          <w:ilvl w:val="0"/>
          <w:numId w:val="2"/>
        </w:numPr>
        <w:spacing w:after="50" w:before="50"/>
      </w:pPr>
      <w:r>
        <w:rPr>
          <w:rFonts w:ascii="Arial" w:cs="Arial" w:eastAsia="Arial" w:hAnsi="Arial"/>
          <w:color w:val="0F172A"/>
          <w:sz w:val="22"/>
          <w:szCs w:val="22"/>
        </w:rPr>
        <w:t xml:space="preserve">Loans resolved via hardship vs charge-off: target 3:1 ratio</w:t>
      </w:r>
    </w:p>
    <w:p>
      <w:pPr>
        <w:pStyle w:val="ListParagraph"/>
        <w:numPr>
          <w:ilvl w:val="0"/>
          <w:numId w:val="2"/>
        </w:numPr>
        <w:spacing w:after="50" w:before="50"/>
      </w:pPr>
      <w:r>
        <w:rPr>
          <w:rFonts w:ascii="Arial" w:cs="Arial" w:eastAsia="Arial" w:hAnsi="Arial"/>
          <w:color w:val="0F172A"/>
          <w:sz w:val="22"/>
          <w:szCs w:val="22"/>
        </w:rPr>
        <w:t xml:space="preserve">Collections escalation to legal: target &lt; 2% of total loan volume</w:t>
      </w:r>
    </w:p>
    <w:p>
      <w:r>
        <w:br w:type="page"/>
      </w:r>
    </w:p>
    <w:p>
      <w:pPr>
        <w:pStyle w:val="Heading1"/>
        <w:spacing w:after="200" w:before="480"/>
      </w:pPr>
      <w:r>
        <w:rPr>
          <w:rFonts w:ascii="Arial" w:cs="Arial" w:eastAsia="Arial" w:hAnsi="Arial"/>
          <w:b/>
          <w:bCs/>
          <w:color w:val="0F172A"/>
          <w:sz w:val="36"/>
          <w:szCs w:val="36"/>
        </w:rPr>
        <w:t xml:space="preserve">6. Compliance and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2"/>
                <w:szCs w:val="22"/>
              </w:rPr>
              <w:t xml:space="preserve">Compliance and legal — Regulatory requirements you must meet</w:t>
            </w:r>
          </w:p>
        </w:tc>
        <w:tc>
          <w:tcPr>
            <w:tcW w:type="dxa" w:w="234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pPr>
              <w:jc w:val="center"/>
            </w:pPr>
            <w:r>
              <w:rPr>
                <w:rFonts w:ascii="Arial" w:cs="Arial" w:eastAsia="Arial" w:hAnsi="Arial"/>
                <w:b/>
                <w:bCs/>
                <w:color w:val="DC2626"/>
                <w:sz w:val="22"/>
                <w:szCs w:val="22"/>
              </w:rPr>
              <w:t xml:space="preserve">Current: 25/100</w:t>
            </w:r>
          </w:p>
        </w:tc>
        <w:tc>
          <w:tcPr>
            <w:tcW w:type="dxa" w:w="234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jc w:val="center"/>
            </w:pPr>
            <w:r>
              <w:rPr>
                <w:rFonts w:ascii="Arial" w:cs="Arial" w:eastAsia="Arial" w:hAnsi="Arial"/>
                <w:b/>
                <w:bCs/>
                <w:color w:val="16A34A"/>
                <w:sz w:val="22"/>
                <w:szCs w:val="22"/>
              </w:rPr>
              <w:t xml:space="preserve">Target: 90/100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C2626" w:val="clear"/>
          </w:tcPr>
          <w:p>
            <w:r>
              <w:t xml:space="preserve"/>
            </w:r>
          </w:p>
        </w:tc>
        <w:tc>
          <w:tcPr>
            <w:tcW w:type="dxa" w:w="9160"/>
            <w:tcBorders>
              <w:top w:val="none" w:color="FFFFFF" w:sz="0"/>
              <w:left w:val="none" w:color="FFFFFF" w:sz="0"/>
              <w:bottom w:val="none" w:color="FFFFFF" w:sz="0"/>
              <w:right w:val="none" w:color="FFFFFF" w:sz="0"/>
            </w:tcBorders>
            <w:shd w:fill="FEF2F2" w:val="clear"/>
            <w:tcMar>
              <w:top w:type="dxa" w:w="120"/>
              <w:left w:type="dxa" w:w="200"/>
              <w:bottom w:type="dxa" w:w="120"/>
              <w:right w:type="dxa" w:w="120"/>
            </w:tcMar>
          </w:tcPr>
          <w:p>
            <w:r>
              <w:rPr>
                <w:rFonts w:ascii="Arial" w:cs="Arial" w:eastAsia="Arial" w:hAnsi="Arial"/>
                <w:color w:val="0F172A"/>
                <w:sz w:val="22"/>
                <w:szCs w:val="22"/>
              </w:rPr>
              <w:t xml:space="preserve">Compliance is not a feature to build later. Three of these requirements are gates — you cannot legally offer credit products without them. Engage a fintech-specialised lawyer in your jurisdiction before writing any lending agreement.</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India — RBI Digital Lending Guidelines (2022)</w:t>
      </w:r>
    </w:p>
    <w:p>
      <w:pPr>
        <w:spacing w:after="80" w:before="60"/>
      </w:pPr>
      <w:r>
        <w:rPr>
          <w:rFonts w:ascii="Arial" w:cs="Arial" w:eastAsia="Arial" w:hAnsi="Arial"/>
          <w:color w:val="0F172A"/>
          <w:sz w:val="22"/>
          <w:szCs w:val="22"/>
        </w:rPr>
        <w:t xml:space="preserve">These guidelines became mandatory for all digital lending platforms in September 2022. Every item below is a legal requirement, not a best practice:</w:t>
      </w:r>
    </w:p>
    <w:p>
      <w:pPr>
        <w:pStyle w:val="ListParagraph"/>
        <w:numPr>
          <w:ilvl w:val="0"/>
          <w:numId w:val="3"/>
        </w:numPr>
        <w:spacing w:after="50" w:before="50"/>
      </w:pPr>
      <w:r>
        <w:rPr>
          <w:rFonts w:ascii="Arial" w:cs="Arial" w:eastAsia="Arial" w:hAnsi="Arial"/>
          <w:color w:val="0F172A"/>
          <w:sz w:val="22"/>
          <w:szCs w:val="22"/>
        </w:rPr>
        <w:t xml:space="preserve">Key Facts Statement (KFS): before any loan is disbursed, display a one-page summary showing: loan amount, total interest, APR, repayment schedule, fees, and grievance redressal contact. Cannot be buried — must be presented and acknowledged.</w:t>
      </w:r>
    </w:p>
    <w:p>
      <w:pPr>
        <w:pStyle w:val="ListParagraph"/>
        <w:numPr>
          <w:ilvl w:val="0"/>
          <w:numId w:val="3"/>
        </w:numPr>
        <w:spacing w:after="50" w:before="50"/>
      </w:pPr>
      <w:r>
        <w:rPr>
          <w:rFonts w:ascii="Arial" w:cs="Arial" w:eastAsia="Arial" w:hAnsi="Arial"/>
          <w:color w:val="0F172A"/>
          <w:sz w:val="22"/>
          <w:szCs w:val="22"/>
        </w:rPr>
        <w:t xml:space="preserve">Cooling-off period: borrowers must be given 3 days to cancel the loan after disbursal with no penalty. Build a cancellation workflow.</w:t>
      </w:r>
    </w:p>
    <w:p>
      <w:pPr>
        <w:pStyle w:val="ListParagraph"/>
        <w:numPr>
          <w:ilvl w:val="0"/>
          <w:numId w:val="3"/>
        </w:numPr>
        <w:spacing w:after="50" w:before="50"/>
      </w:pPr>
      <w:r>
        <w:rPr>
          <w:rFonts w:ascii="Arial" w:cs="Arial" w:eastAsia="Arial" w:hAnsi="Arial"/>
          <w:color w:val="0F172A"/>
          <w:sz w:val="22"/>
          <w:szCs w:val="22"/>
        </w:rPr>
        <w:t xml:space="preserve">Disbursement rules: loan funds must be disbursed directly to the borrower's bank account. Cannot flow through a third-party account including FlowOS's own account.</w:t>
      </w:r>
    </w:p>
    <w:p>
      <w:pPr>
        <w:pStyle w:val="ListParagraph"/>
        <w:numPr>
          <w:ilvl w:val="0"/>
          <w:numId w:val="3"/>
        </w:numPr>
        <w:spacing w:after="50" w:before="50"/>
      </w:pPr>
      <w:r>
        <w:rPr>
          <w:rFonts w:ascii="Arial" w:cs="Arial" w:eastAsia="Arial" w:hAnsi="Arial"/>
          <w:color w:val="0F172A"/>
          <w:sz w:val="22"/>
          <w:szCs w:val="22"/>
        </w:rPr>
        <w:t xml:space="preserve">Recovery agent norms: collections agents must identify themselves, their employer, and reason for contact. No calls before 8am or after 7pm. No contact with family members or colleagues.</w:t>
      </w:r>
    </w:p>
    <w:p>
      <w:pPr>
        <w:pStyle w:val="ListParagraph"/>
        <w:numPr>
          <w:ilvl w:val="0"/>
          <w:numId w:val="3"/>
        </w:numPr>
        <w:spacing w:after="50" w:before="50"/>
      </w:pPr>
      <w:r>
        <w:rPr>
          <w:rFonts w:ascii="Arial" w:cs="Arial" w:eastAsia="Arial" w:hAnsi="Arial"/>
          <w:color w:val="0F172A"/>
          <w:sz w:val="22"/>
          <w:szCs w:val="22"/>
        </w:rPr>
        <w:t xml:space="preserve">Data privacy: you must obtain explicit consent for using transaction data in underwriting. You must have a right-to-deletion workflow for all financial data.</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India — NBFC or LSP registration</w:t>
      </w:r>
    </w:p>
    <w:p>
      <w:pPr>
        <w:spacing w:after="80" w:before="60"/>
      </w:pPr>
      <w:r>
        <w:rPr>
          <w:rFonts w:ascii="Arial" w:cs="Arial" w:eastAsia="Arial" w:hAnsi="Arial"/>
          <w:color w:val="0F172A"/>
          <w:sz w:val="22"/>
          <w:szCs w:val="22"/>
        </w:rPr>
        <w:t xml:space="preserve">FlowOS in its referral model operates as a Lending Service Provider (LSP) — a regulated category under RBI guidelines. As an LSP you must:</w:t>
      </w:r>
    </w:p>
    <w:p>
      <w:pPr>
        <w:pStyle w:val="ListParagraph"/>
        <w:numPr>
          <w:ilvl w:val="0"/>
          <w:numId w:val="2"/>
        </w:numPr>
        <w:spacing w:after="50" w:before="50"/>
      </w:pPr>
      <w:r>
        <w:rPr>
          <w:rFonts w:ascii="Arial" w:cs="Arial" w:eastAsia="Arial" w:hAnsi="Arial"/>
          <w:color w:val="0F172A"/>
          <w:sz w:val="22"/>
          <w:szCs w:val="22"/>
        </w:rPr>
        <w:t xml:space="preserve">Register with the RBI as an LSP (no minimum capital requirement but requires compliance audit)</w:t>
      </w:r>
    </w:p>
    <w:p>
      <w:pPr>
        <w:pStyle w:val="ListParagraph"/>
        <w:numPr>
          <w:ilvl w:val="0"/>
          <w:numId w:val="2"/>
        </w:numPr>
        <w:spacing w:after="50" w:before="50"/>
      </w:pPr>
      <w:r>
        <w:rPr>
          <w:rFonts w:ascii="Arial" w:cs="Arial" w:eastAsia="Arial" w:hAnsi="Arial"/>
          <w:color w:val="0F172A"/>
          <w:sz w:val="22"/>
          <w:szCs w:val="22"/>
        </w:rPr>
        <w:t xml:space="preserve">Partner only with RBI-registered NBFCs or banks as the actual lender</w:t>
      </w:r>
    </w:p>
    <w:p>
      <w:pPr>
        <w:pStyle w:val="ListParagraph"/>
        <w:numPr>
          <w:ilvl w:val="0"/>
          <w:numId w:val="2"/>
        </w:numPr>
        <w:spacing w:after="50" w:before="50"/>
      </w:pPr>
      <w:r>
        <w:rPr>
          <w:rFonts w:ascii="Arial" w:cs="Arial" w:eastAsia="Arial" w:hAnsi="Arial"/>
          <w:color w:val="0F172A"/>
          <w:sz w:val="22"/>
          <w:szCs w:val="22"/>
        </w:rPr>
        <w:t xml:space="preserve">Ensure your lender partner takes 100% of credit risk — you cannot bear credit risk without an NBFC licence</w:t>
      </w:r>
    </w:p>
    <w:p>
      <w:pPr>
        <w:pStyle w:val="ListParagraph"/>
        <w:numPr>
          <w:ilvl w:val="0"/>
          <w:numId w:val="2"/>
        </w:numPr>
        <w:spacing w:after="50" w:before="50"/>
      </w:pPr>
      <w:r>
        <w:rPr>
          <w:rFonts w:ascii="Arial" w:cs="Arial" w:eastAsia="Arial" w:hAnsi="Arial"/>
          <w:color w:val="0F172A"/>
          <w:sz w:val="22"/>
          <w:szCs w:val="22"/>
        </w:rPr>
        <w:t xml:space="preserve">Display the lender's name prominently in all loan documentation</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US compliance requirements</w:t>
      </w:r>
    </w:p>
    <w:p>
      <w:pPr>
        <w:pStyle w:val="Heading3"/>
        <w:spacing w:after="100" w:before="240"/>
      </w:pPr>
      <w:r>
        <w:rPr>
          <w:rFonts w:ascii="Arial" w:cs="Arial" w:eastAsia="Arial" w:hAnsi="Arial"/>
          <w:b/>
          <w:bCs/>
          <w:color w:val="0F172A"/>
          <w:sz w:val="24"/>
          <w:szCs w:val="24"/>
        </w:rPr>
        <w:t xml:space="preserve">Truth in Lending Act (TILA) / Regulation Z</w:t>
      </w:r>
    </w:p>
    <w:p>
      <w:pPr>
        <w:pStyle w:val="ListParagraph"/>
        <w:numPr>
          <w:ilvl w:val="0"/>
          <w:numId w:val="2"/>
        </w:numPr>
        <w:spacing w:after="50" w:before="50"/>
      </w:pPr>
      <w:r>
        <w:rPr>
          <w:rFonts w:ascii="Arial" w:cs="Arial" w:eastAsia="Arial" w:hAnsi="Arial"/>
          <w:color w:val="0F172A"/>
          <w:sz w:val="22"/>
          <w:szCs w:val="22"/>
        </w:rPr>
        <w:t xml:space="preserve">All APR disclosures must follow TILA formatting: show APR, finance charge, amount financed, and total payment amount</w:t>
      </w:r>
    </w:p>
    <w:p>
      <w:pPr>
        <w:pStyle w:val="ListParagraph"/>
        <w:numPr>
          <w:ilvl w:val="0"/>
          <w:numId w:val="2"/>
        </w:numPr>
        <w:spacing w:after="50" w:before="50"/>
      </w:pPr>
      <w:r>
        <w:rPr>
          <w:rFonts w:ascii="Arial" w:cs="Arial" w:eastAsia="Arial" w:hAnsi="Arial"/>
          <w:color w:val="0F172A"/>
          <w:sz w:val="22"/>
          <w:szCs w:val="22"/>
        </w:rPr>
        <w:t xml:space="preserve">Revenue-based financing in most states is treated as a commercial advance, not a loan — different disclosure rules apply. Get state-by-state legal advice.</w:t>
      </w:r>
    </w:p>
    <w:p>
      <w:pPr>
        <w:spacing w:after="80"/>
      </w:pPr>
      <w:r>
        <w:t xml:space="preserve"/>
      </w:r>
    </w:p>
    <w:p>
      <w:pPr>
        <w:pStyle w:val="Heading3"/>
        <w:spacing w:after="100" w:before="240"/>
      </w:pPr>
      <w:r>
        <w:rPr>
          <w:rFonts w:ascii="Arial" w:cs="Arial" w:eastAsia="Arial" w:hAnsi="Arial"/>
          <w:b/>
          <w:bCs/>
          <w:color w:val="0F172A"/>
          <w:sz w:val="24"/>
          <w:szCs w:val="24"/>
        </w:rPr>
        <w:t xml:space="preserve">Equal Credit Opportunity Act (ECOA)</w:t>
      </w:r>
    </w:p>
    <w:p>
      <w:pPr>
        <w:pStyle w:val="ListParagraph"/>
        <w:numPr>
          <w:ilvl w:val="0"/>
          <w:numId w:val="2"/>
        </w:numPr>
        <w:spacing w:after="50" w:before="50"/>
      </w:pPr>
      <w:r>
        <w:rPr>
          <w:rFonts w:ascii="Arial" w:cs="Arial" w:eastAsia="Arial" w:hAnsi="Arial"/>
          <w:color w:val="0F172A"/>
          <w:sz w:val="22"/>
          <w:szCs w:val="22"/>
        </w:rPr>
        <w:t xml:space="preserve">You cannot discriminate in lending based on race, color, religion, national origin, sex, marital status, age, or receipt of public assistance</w:t>
      </w:r>
    </w:p>
    <w:p>
      <w:pPr>
        <w:pStyle w:val="ListParagraph"/>
        <w:numPr>
          <w:ilvl w:val="0"/>
          <w:numId w:val="2"/>
        </w:numPr>
        <w:spacing w:after="50" w:before="50"/>
      </w:pPr>
      <w:r>
        <w:rPr>
          <w:rFonts w:ascii="Arial" w:cs="Arial" w:eastAsia="Arial" w:hAnsi="Arial"/>
          <w:color w:val="0F172A"/>
          <w:sz w:val="22"/>
          <w:szCs w:val="22"/>
        </w:rPr>
        <w:t xml:space="preserve">Your underwriting model must be tested for disparate impact — even unintentional discrimination is illegal</w:t>
      </w:r>
    </w:p>
    <w:p>
      <w:pPr>
        <w:pStyle w:val="ListParagraph"/>
        <w:numPr>
          <w:ilvl w:val="0"/>
          <w:numId w:val="2"/>
        </w:numPr>
        <w:spacing w:after="50" w:before="50"/>
      </w:pPr>
      <w:r>
        <w:rPr>
          <w:rFonts w:ascii="Arial" w:cs="Arial" w:eastAsia="Arial" w:hAnsi="Arial"/>
          <w:color w:val="0F172A"/>
          <w:sz w:val="22"/>
          <w:szCs w:val="22"/>
        </w:rPr>
        <w:t xml:space="preserve">Adverse action notices: when you decline, offer less, or offer worse terms, you must send a written notice explaining why within 30 days</w:t>
      </w:r>
    </w:p>
    <w:p>
      <w:pPr>
        <w:spacing w:after="80"/>
      </w:pPr>
      <w:r>
        <w:t xml:space="preserve"/>
      </w:r>
    </w:p>
    <w:p>
      <w:pPr>
        <w:pStyle w:val="Heading3"/>
        <w:spacing w:after="100" w:before="240"/>
      </w:pPr>
      <w:r>
        <w:rPr>
          <w:rFonts w:ascii="Arial" w:cs="Arial" w:eastAsia="Arial" w:hAnsi="Arial"/>
          <w:b/>
          <w:bCs/>
          <w:color w:val="0F172A"/>
          <w:sz w:val="24"/>
          <w:szCs w:val="24"/>
        </w:rPr>
        <w:t xml:space="preserve">State lending laws</w:t>
      </w:r>
    </w:p>
    <w:p>
      <w:pPr>
        <w:pStyle w:val="ListParagraph"/>
        <w:numPr>
          <w:ilvl w:val="0"/>
          <w:numId w:val="2"/>
        </w:numPr>
        <w:spacing w:after="50" w:before="50"/>
      </w:pPr>
      <w:r>
        <w:rPr>
          <w:rFonts w:ascii="Arial" w:cs="Arial" w:eastAsia="Arial" w:hAnsi="Arial"/>
          <w:color w:val="0F172A"/>
          <w:sz w:val="22"/>
          <w:szCs w:val="22"/>
        </w:rPr>
        <w:t xml:space="preserve">California: SB 1235 requires APR disclosure on commercial loans. California Finance Lenders Law may require a licence.</w:t>
      </w:r>
    </w:p>
    <w:p>
      <w:pPr>
        <w:pStyle w:val="ListParagraph"/>
        <w:numPr>
          <w:ilvl w:val="0"/>
          <w:numId w:val="2"/>
        </w:numPr>
        <w:spacing w:after="50" w:before="50"/>
      </w:pPr>
      <w:r>
        <w:rPr>
          <w:rFonts w:ascii="Arial" w:cs="Arial" w:eastAsia="Arial" w:hAnsi="Arial"/>
          <w:color w:val="0F172A"/>
          <w:sz w:val="22"/>
          <w:szCs w:val="22"/>
        </w:rPr>
        <w:t xml:space="preserve">New York: commercial financing disclosure requirements from 2023.</w:t>
      </w:r>
    </w:p>
    <w:p>
      <w:pPr>
        <w:pStyle w:val="ListParagraph"/>
        <w:numPr>
          <w:ilvl w:val="0"/>
          <w:numId w:val="2"/>
        </w:numPr>
        <w:spacing w:after="50" w:before="50"/>
      </w:pPr>
      <w:r>
        <w:rPr>
          <w:rFonts w:ascii="Arial" w:cs="Arial" w:eastAsia="Arial" w:hAnsi="Arial"/>
          <w:color w:val="0F172A"/>
          <w:sz w:val="22"/>
          <w:szCs w:val="22"/>
        </w:rPr>
        <w:t xml:space="preserve">Some states cap APR at 36% for certain loan types — geo-fence your offers accordingly.</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Adverse action notice — required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Required element</w:t>
            </w:r>
          </w:p>
        </w:tc>
        <w:tc>
          <w:tcPr>
            <w:tcW w:type="dxa" w:w="63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Example language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Statement of adverse action</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We are unable to offer you credit / We can offer less than you requested</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Specific reason(s)</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Insufficient revenue history / High customer concentration / Business age below threshold</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Credit bureau disclosure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If applicable: we used data from [bureau name]. You have the right to a free copy.</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ECOA notice</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The Equal Credit Opportunity Act prohibits creditors from discriminating...</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Contact information</w:t>
            </w:r>
          </w:p>
        </w:tc>
        <w:tc>
          <w:tcPr>
            <w:tcW w:type="dxa" w:w="6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FlowOS grievance officer: [name, email, phone]</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Fair lending audit process</w:t>
      </w:r>
    </w:p>
    <w:p>
      <w:pPr>
        <w:spacing w:after="80" w:before="60"/>
      </w:pPr>
      <w:r>
        <w:rPr>
          <w:rFonts w:ascii="Arial" w:cs="Arial" w:eastAsia="Arial" w:hAnsi="Arial"/>
          <w:color w:val="0F172A"/>
          <w:sz w:val="22"/>
          <w:szCs w:val="22"/>
        </w:rPr>
        <w:t xml:space="preserve">Run a bias audit every quarter. Extract all approval and decline decisions. For each demographic category available (business owner gender, location, industry), check:</w:t>
      </w:r>
    </w:p>
    <w:p>
      <w:pPr>
        <w:pStyle w:val="ListParagraph"/>
        <w:numPr>
          <w:ilvl w:val="0"/>
          <w:numId w:val="2"/>
        </w:numPr>
        <w:spacing w:after="50" w:before="50"/>
      </w:pPr>
      <w:r>
        <w:rPr>
          <w:rFonts w:ascii="Arial" w:cs="Arial" w:eastAsia="Arial" w:hAnsi="Arial"/>
          <w:color w:val="0F172A"/>
          <w:sz w:val="22"/>
          <w:szCs w:val="22"/>
        </w:rPr>
        <w:t xml:space="preserve">Approval rate by category vs overall approval rate</w:t>
      </w:r>
    </w:p>
    <w:p>
      <w:pPr>
        <w:pStyle w:val="ListParagraph"/>
        <w:numPr>
          <w:ilvl w:val="0"/>
          <w:numId w:val="2"/>
        </w:numPr>
        <w:spacing w:after="50" w:before="50"/>
      </w:pPr>
      <w:r>
        <w:rPr>
          <w:rFonts w:ascii="Arial" w:cs="Arial" w:eastAsia="Arial" w:hAnsi="Arial"/>
          <w:color w:val="0F172A"/>
          <w:sz w:val="22"/>
          <w:szCs w:val="22"/>
        </w:rPr>
        <w:t xml:space="preserve">Average loan amount offered by category</w:t>
      </w:r>
    </w:p>
    <w:p>
      <w:pPr>
        <w:pStyle w:val="ListParagraph"/>
        <w:numPr>
          <w:ilvl w:val="0"/>
          <w:numId w:val="2"/>
        </w:numPr>
        <w:spacing w:after="50" w:before="50"/>
      </w:pPr>
      <w:r>
        <w:rPr>
          <w:rFonts w:ascii="Arial" w:cs="Arial" w:eastAsia="Arial" w:hAnsi="Arial"/>
          <w:color w:val="0F172A"/>
          <w:sz w:val="22"/>
          <w:szCs w:val="22"/>
        </w:rPr>
        <w:t xml:space="preserve">Average rate offered by category</w:t>
      </w:r>
    </w:p>
    <w:p>
      <w:pPr>
        <w:spacing w:after="80" w:before="60"/>
      </w:pPr>
      <w:r>
        <w:rPr>
          <w:rFonts w:ascii="Arial" w:cs="Arial" w:eastAsia="Arial" w:hAnsi="Arial"/>
          <w:color w:val="0F172A"/>
          <w:sz w:val="22"/>
          <w:szCs w:val="22"/>
        </w:rPr>
        <w:t xml:space="preserve">If any category shows &gt; 15% deviation from the mean without an actuarially justified reason, investigate immediately.</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Success metrics</w:t>
      </w:r>
    </w:p>
    <w:p>
      <w:pPr>
        <w:pStyle w:val="ListParagraph"/>
        <w:numPr>
          <w:ilvl w:val="0"/>
          <w:numId w:val="2"/>
        </w:numPr>
        <w:spacing w:after="50" w:before="50"/>
      </w:pPr>
      <w:r>
        <w:rPr>
          <w:rFonts w:ascii="Arial" w:cs="Arial" w:eastAsia="Arial" w:hAnsi="Arial"/>
          <w:color w:val="0F172A"/>
          <w:sz w:val="22"/>
          <w:szCs w:val="22"/>
        </w:rPr>
        <w:t xml:space="preserve">KFS shown and acknowledged on 100% of loans disbursed</w:t>
      </w:r>
    </w:p>
    <w:p>
      <w:pPr>
        <w:pStyle w:val="ListParagraph"/>
        <w:numPr>
          <w:ilvl w:val="0"/>
          <w:numId w:val="2"/>
        </w:numPr>
        <w:spacing w:after="50" w:before="50"/>
      </w:pPr>
      <w:r>
        <w:rPr>
          <w:rFonts w:ascii="Arial" w:cs="Arial" w:eastAsia="Arial" w:hAnsi="Arial"/>
          <w:color w:val="0F172A"/>
          <w:sz w:val="22"/>
          <w:szCs w:val="22"/>
        </w:rPr>
        <w:t xml:space="preserve">Adverse action notice sent within 5 business days of every decline</w:t>
      </w:r>
    </w:p>
    <w:p>
      <w:pPr>
        <w:pStyle w:val="ListParagraph"/>
        <w:numPr>
          <w:ilvl w:val="0"/>
          <w:numId w:val="2"/>
        </w:numPr>
        <w:spacing w:after="50" w:before="50"/>
      </w:pPr>
      <w:r>
        <w:rPr>
          <w:rFonts w:ascii="Arial" w:cs="Arial" w:eastAsia="Arial" w:hAnsi="Arial"/>
          <w:color w:val="0F172A"/>
          <w:sz w:val="22"/>
          <w:szCs w:val="22"/>
        </w:rPr>
        <w:t xml:space="preserve">Quarterly fair lending audit completed with no findings &gt; 15% deviation</w:t>
      </w:r>
    </w:p>
    <w:p>
      <w:pPr>
        <w:pStyle w:val="ListParagraph"/>
        <w:numPr>
          <w:ilvl w:val="0"/>
          <w:numId w:val="2"/>
        </w:numPr>
        <w:spacing w:after="50" w:before="50"/>
      </w:pPr>
      <w:r>
        <w:rPr>
          <w:rFonts w:ascii="Arial" w:cs="Arial" w:eastAsia="Arial" w:hAnsi="Arial"/>
          <w:color w:val="0F172A"/>
          <w:sz w:val="22"/>
          <w:szCs w:val="22"/>
        </w:rPr>
        <w:t xml:space="preserve">RBI LSP registration completed before first disbursal</w:t>
      </w:r>
    </w:p>
    <w:p>
      <w:r>
        <w:br w:type="page"/>
      </w:r>
    </w:p>
    <w:p>
      <w:pPr>
        <w:pStyle w:val="Heading1"/>
        <w:spacing w:after="200" w:before="480"/>
      </w:pPr>
      <w:r>
        <w:rPr>
          <w:rFonts w:ascii="Arial" w:cs="Arial" w:eastAsia="Arial" w:hAnsi="Arial"/>
          <w:b/>
          <w:bCs/>
          <w:color w:val="0F172A"/>
          <w:sz w:val="36"/>
          <w:szCs w:val="36"/>
        </w:rPr>
        <w:t xml:space="preserve">7. Algorithm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2"/>
                <w:szCs w:val="22"/>
              </w:rPr>
              <w:t xml:space="preserve">Algorithm intelligence — How smart the model actually is</w:t>
            </w:r>
          </w:p>
        </w:tc>
        <w:tc>
          <w:tcPr>
            <w:tcW w:type="dxa" w:w="234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pPr>
              <w:jc w:val="center"/>
            </w:pPr>
            <w:r>
              <w:rPr>
                <w:rFonts w:ascii="Arial" w:cs="Arial" w:eastAsia="Arial" w:hAnsi="Arial"/>
                <w:b/>
                <w:bCs/>
                <w:color w:val="DC2626"/>
                <w:sz w:val="22"/>
                <w:szCs w:val="22"/>
              </w:rPr>
              <w:t xml:space="preserve">Current: 30/100</w:t>
            </w:r>
          </w:p>
        </w:tc>
        <w:tc>
          <w:tcPr>
            <w:tcW w:type="dxa" w:w="234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jc w:val="center"/>
            </w:pPr>
            <w:r>
              <w:rPr>
                <w:rFonts w:ascii="Arial" w:cs="Arial" w:eastAsia="Arial" w:hAnsi="Arial"/>
                <w:b/>
                <w:bCs/>
                <w:color w:val="16A34A"/>
                <w:sz w:val="22"/>
                <w:szCs w:val="22"/>
              </w:rPr>
              <w:t xml:space="preserve">Target: 80/100</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Current state — what exists</w:t>
      </w:r>
    </w:p>
    <w:p>
      <w:pPr>
        <w:spacing w:after="80" w:before="60"/>
      </w:pPr>
      <w:r>
        <w:rPr>
          <w:rFonts w:ascii="Arial" w:cs="Arial" w:eastAsia="Arial" w:hAnsi="Arial"/>
          <w:color w:val="0F172A"/>
          <w:sz w:val="22"/>
          <w:szCs w:val="22"/>
        </w:rPr>
        <w:t xml:space="preserve">The underwriting model is rule-based: a series of weighted inputs summed to a score. Rules are better than nothing and appropriate for the first 6 months. The problem is rules cap out — they cannot improve with data, they cannot capture non-linear relationships, and they cannot use signals that are hard to articulate as rules.</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1 — No ML model</w:t>
      </w:r>
    </w:p>
    <w:p>
      <w:pPr>
        <w:spacing w:after="80" w:before="60"/>
      </w:pPr>
      <w:r>
        <w:rPr>
          <w:rFonts w:ascii="Arial" w:cs="Arial" w:eastAsia="Arial" w:hAnsi="Arial"/>
          <w:color w:val="0F172A"/>
          <w:sz w:val="22"/>
          <w:szCs w:val="22"/>
        </w:rPr>
        <w:t xml:space="preserve">After you have 200+ loan outcomes (repaid vs defaulted), you have enough data to train a logistic regression or gradient boosting model that will outperform your rule set. The model will find patterns you never thought to write rules for.</w:t>
      </w:r>
    </w:p>
    <w:p>
      <w:pPr>
        <w:spacing w:after="80"/>
      </w:pPr>
      <w:r>
        <w:t xml:space="preserve"/>
      </w:r>
    </w:p>
    <w:p>
      <w:pPr>
        <w:pStyle w:val="Heading3"/>
        <w:spacing w:after="100" w:before="240"/>
      </w:pPr>
      <w:r>
        <w:rPr>
          <w:rFonts w:ascii="Arial" w:cs="Arial" w:eastAsia="Arial" w:hAnsi="Arial"/>
          <w:b/>
          <w:bCs/>
          <w:color w:val="0F172A"/>
          <w:sz w:val="24"/>
          <w:szCs w:val="24"/>
        </w:rPr>
        <w:t xml:space="preserve">Model build sequence</w:t>
      </w:r>
    </w:p>
    <w:p>
      <w:pPr>
        <w:pStyle w:val="ListParagraph"/>
        <w:numPr>
          <w:ilvl w:val="0"/>
          <w:numId w:val="3"/>
        </w:numPr>
        <w:spacing w:after="50" w:before="50"/>
      </w:pPr>
      <w:r>
        <w:rPr>
          <w:rFonts w:ascii="Arial" w:cs="Arial" w:eastAsia="Arial" w:hAnsi="Arial"/>
          <w:color w:val="0F172A"/>
          <w:sz w:val="22"/>
          <w:szCs w:val="22"/>
        </w:rPr>
        <w:t xml:space="preserve">Month 1-6: collect clean data. Log every underwriting decision, every signal value, and every outcome (repaid, late, defaulted). Do not touch the model.</w:t>
      </w:r>
    </w:p>
    <w:p>
      <w:pPr>
        <w:pStyle w:val="ListParagraph"/>
        <w:numPr>
          <w:ilvl w:val="0"/>
          <w:numId w:val="3"/>
        </w:numPr>
        <w:spacing w:after="50" w:before="50"/>
      </w:pPr>
      <w:r>
        <w:rPr>
          <w:rFonts w:ascii="Arial" w:cs="Arial" w:eastAsia="Arial" w:hAnsi="Arial"/>
          <w:color w:val="0F172A"/>
          <w:sz w:val="22"/>
          <w:szCs w:val="22"/>
        </w:rPr>
        <w:t xml:space="preserve">Month 6: export data. Features: all 9 underwriting signals + industry + business age + behavioral signals. Target: 1 = defaulted within 12 months, 0 = repaid on time.</w:t>
      </w:r>
    </w:p>
    <w:p>
      <w:pPr>
        <w:pStyle w:val="ListParagraph"/>
        <w:numPr>
          <w:ilvl w:val="0"/>
          <w:numId w:val="3"/>
        </w:numPr>
        <w:spacing w:after="50" w:before="50"/>
      </w:pPr>
      <w:r>
        <w:rPr>
          <w:rFonts w:ascii="Arial" w:cs="Arial" w:eastAsia="Arial" w:hAnsi="Arial"/>
          <w:color w:val="0F172A"/>
          <w:sz w:val="22"/>
          <w:szCs w:val="22"/>
        </w:rPr>
        <w:t xml:space="preserve">Month 6-7: train a logistic regression first (interpretable, fast, easy to explain to regulators). Train a gradient boosting model (XGBoost) second. Compare Gini coefficients. Use whichever is better.</w:t>
      </w:r>
    </w:p>
    <w:p>
      <w:pPr>
        <w:pStyle w:val="ListParagraph"/>
        <w:numPr>
          <w:ilvl w:val="0"/>
          <w:numId w:val="3"/>
        </w:numPr>
        <w:spacing w:after="50" w:before="50"/>
      </w:pPr>
      <w:r>
        <w:rPr>
          <w:rFonts w:ascii="Arial" w:cs="Arial" w:eastAsia="Arial" w:hAnsi="Arial"/>
          <w:color w:val="0F172A"/>
          <w:sz w:val="22"/>
          <w:szCs w:val="22"/>
        </w:rPr>
        <w:t xml:space="preserve">Month 7: shadow mode — run the ML model in parallel with the rule-based model for 60 days without acting on its decisions. Compare their scores on new applications.</w:t>
      </w:r>
    </w:p>
    <w:p>
      <w:pPr>
        <w:pStyle w:val="ListParagraph"/>
        <w:numPr>
          <w:ilvl w:val="0"/>
          <w:numId w:val="3"/>
        </w:numPr>
        <w:spacing w:after="50" w:before="50"/>
      </w:pPr>
      <w:r>
        <w:rPr>
          <w:rFonts w:ascii="Arial" w:cs="Arial" w:eastAsia="Arial" w:hAnsi="Arial"/>
          <w:color w:val="0F172A"/>
          <w:sz w:val="22"/>
          <w:szCs w:val="22"/>
        </w:rPr>
        <w:t xml:space="preserve">Month 9: if ML model Gini &gt; rule model Gini by &gt; 0.05, switch to ML model for primary decisions.</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2 — Ignoring behavioral signals</w:t>
      </w:r>
    </w:p>
    <w:p>
      <w:pPr>
        <w:spacing w:after="80" w:before="60"/>
      </w:pPr>
      <w:r>
        <w:rPr>
          <w:rFonts w:ascii="Arial" w:cs="Arial" w:eastAsia="Arial" w:hAnsi="Arial"/>
          <w:color w:val="0F172A"/>
          <w:sz w:val="22"/>
          <w:szCs w:val="22"/>
        </w:rPr>
        <w:t xml:space="preserve">These signals exist in your platform today and you are not using them for underwriting. Log all of them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Behavioral signal</w:t>
            </w:r>
          </w:p>
        </w:tc>
        <w:tc>
          <w:tcPr>
            <w:tcW w:type="dxa" w:w="3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Why it predicts default</w:t>
            </w:r>
          </w:p>
        </w:tc>
        <w:tc>
          <w:tcPr>
            <w:tcW w:type="dxa" w:w="33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How to capture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Frequency of dashboard logins</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Engaged owners are more likely to manage finances proactively</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Log session frequency per user</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Number of scenarios modeled</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Planning behavior = financial responsibility</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Count scenario events in analytics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Alert acknowledgment rate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Do they act on warnings or ignore them?</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Track alert open + action rates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Invoice payment timing to suppliers</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Paying suppliers late = cash flow stress signal</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Derive from accounting data</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Time between cash low and action</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Do they solve problems fast or freeze?</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Track alert-to-action delta</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Connection of additional accounts</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Adding more accounts = trust + transparency</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Log integration events</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3 — No model monitoring</w:t>
      </w:r>
    </w:p>
    <w:p>
      <w:pPr>
        <w:spacing w:after="80" w:before="60"/>
      </w:pPr>
      <w:r>
        <w:rPr>
          <w:rFonts w:ascii="Arial" w:cs="Arial" w:eastAsia="Arial" w:hAnsi="Arial"/>
          <w:color w:val="0F172A"/>
          <w:sz w:val="22"/>
          <w:szCs w:val="22"/>
        </w:rPr>
        <w:t xml:space="preserve">Models drift. A model trained in 2025 will degrade by 2027 because business conditions, borrower behavior, and economic environment all change. You must monitor model performance monthly:</w:t>
      </w:r>
    </w:p>
    <w:p>
      <w:pPr>
        <w:pStyle w:val="ListParagraph"/>
        <w:numPr>
          <w:ilvl w:val="0"/>
          <w:numId w:val="2"/>
        </w:numPr>
        <w:spacing w:after="50" w:before="50"/>
      </w:pPr>
      <w:r>
        <w:rPr>
          <w:rFonts w:ascii="Arial" w:cs="Arial" w:eastAsia="Arial" w:hAnsi="Arial"/>
          <w:color w:val="0F172A"/>
          <w:sz w:val="22"/>
          <w:szCs w:val="22"/>
        </w:rPr>
        <w:t xml:space="preserve">Population Stability Index (PSI): measures whether the distribution of incoming applications has shifted vs training data. PSI &gt; 0.2 means the model needs retraining.</w:t>
      </w:r>
    </w:p>
    <w:p>
      <w:pPr>
        <w:pStyle w:val="ListParagraph"/>
        <w:numPr>
          <w:ilvl w:val="0"/>
          <w:numId w:val="2"/>
        </w:numPr>
        <w:spacing w:after="50" w:before="50"/>
      </w:pPr>
      <w:r>
        <w:rPr>
          <w:rFonts w:ascii="Arial" w:cs="Arial" w:eastAsia="Arial" w:hAnsi="Arial"/>
          <w:color w:val="0F172A"/>
          <w:sz w:val="22"/>
          <w:szCs w:val="22"/>
        </w:rPr>
        <w:t xml:space="preserve">Gini coefficient: track monthly on a rolling 3-month cohort. If Gini drops &gt; 5 points, investigate and retrain.</w:t>
      </w:r>
    </w:p>
    <w:p>
      <w:pPr>
        <w:pStyle w:val="ListParagraph"/>
        <w:numPr>
          <w:ilvl w:val="0"/>
          <w:numId w:val="2"/>
        </w:numPr>
        <w:spacing w:after="50" w:before="50"/>
      </w:pPr>
      <w:r>
        <w:rPr>
          <w:rFonts w:ascii="Arial" w:cs="Arial" w:eastAsia="Arial" w:hAnsi="Arial"/>
          <w:color w:val="0F172A"/>
          <w:sz w:val="22"/>
          <w:szCs w:val="22"/>
        </w:rPr>
        <w:t xml:space="preserve">Default rate by score band: if score band 70-80 starts defaulting at 8% instead of the modeled 3%, something has changed.</w:t>
      </w:r>
    </w:p>
    <w:p>
      <w:pPr>
        <w:pStyle w:val="ListParagraph"/>
        <w:numPr>
          <w:ilvl w:val="0"/>
          <w:numId w:val="2"/>
        </w:numPr>
        <w:spacing w:after="50" w:before="50"/>
      </w:pPr>
      <w:r>
        <w:rPr>
          <w:rFonts w:ascii="Arial" w:cs="Arial" w:eastAsia="Arial" w:hAnsi="Arial"/>
          <w:color w:val="0F172A"/>
          <w:sz w:val="22"/>
          <w:szCs w:val="22"/>
        </w:rPr>
        <w:t xml:space="preserve">Feature importance drift: if a feature that was previously predictive suddenly stops being predictive, it may have been compromised (e.g. borrowers learning to game the metric).</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4 — No feedback loop from outcomes to underwriting</w:t>
      </w:r>
    </w:p>
    <w:p>
      <w:pPr>
        <w:spacing w:after="80" w:before="60"/>
      </w:pPr>
      <w:r>
        <w:rPr>
          <w:rFonts w:ascii="Arial" w:cs="Arial" w:eastAsia="Arial" w:hAnsi="Arial"/>
          <w:color w:val="0F172A"/>
          <w:sz w:val="22"/>
          <w:szCs w:val="22"/>
        </w:rPr>
        <w:t xml:space="preserve">Every repayment and every default is training data. Build the feedback loop from day one:</w:t>
      </w:r>
    </w:p>
    <w:p>
      <w:pPr>
        <w:pStyle w:val="ListParagraph"/>
        <w:numPr>
          <w:ilvl w:val="0"/>
          <w:numId w:val="3"/>
        </w:numPr>
        <w:spacing w:after="50" w:before="50"/>
      </w:pPr>
      <w:r>
        <w:rPr>
          <w:rFonts w:ascii="Arial" w:cs="Arial" w:eastAsia="Arial" w:hAnsi="Arial"/>
          <w:color w:val="0F172A"/>
          <w:sz w:val="22"/>
          <w:szCs w:val="22"/>
        </w:rPr>
        <w:t xml:space="preserve">Every loan disbursed: store all underwriting signal values as a snapshot at origination.</w:t>
      </w:r>
    </w:p>
    <w:p>
      <w:pPr>
        <w:pStyle w:val="ListParagraph"/>
        <w:numPr>
          <w:ilvl w:val="0"/>
          <w:numId w:val="3"/>
        </w:numPr>
        <w:spacing w:after="50" w:before="50"/>
      </w:pPr>
      <w:r>
        <w:rPr>
          <w:rFonts w:ascii="Arial" w:cs="Arial" w:eastAsia="Arial" w:hAnsi="Arial"/>
          <w:color w:val="0F172A"/>
          <w:sz w:val="22"/>
          <w:szCs w:val="22"/>
        </w:rPr>
        <w:t xml:space="preserve">Every repayment event: log as positive signal.</w:t>
      </w:r>
    </w:p>
    <w:p>
      <w:pPr>
        <w:pStyle w:val="ListParagraph"/>
        <w:numPr>
          <w:ilvl w:val="0"/>
          <w:numId w:val="3"/>
        </w:numPr>
        <w:spacing w:after="50" w:before="50"/>
      </w:pPr>
      <w:r>
        <w:rPr>
          <w:rFonts w:ascii="Arial" w:cs="Arial" w:eastAsia="Arial" w:hAnsi="Arial"/>
          <w:color w:val="0F172A"/>
          <w:sz w:val="22"/>
          <w:szCs w:val="22"/>
        </w:rPr>
        <w:t xml:space="preserve">Every missed payment: log with days-past-due counter.</w:t>
      </w:r>
    </w:p>
    <w:p>
      <w:pPr>
        <w:pStyle w:val="ListParagraph"/>
        <w:numPr>
          <w:ilvl w:val="0"/>
          <w:numId w:val="3"/>
        </w:numPr>
        <w:spacing w:after="50" w:before="50"/>
      </w:pPr>
      <w:r>
        <w:rPr>
          <w:rFonts w:ascii="Arial" w:cs="Arial" w:eastAsia="Arial" w:hAnsi="Arial"/>
          <w:color w:val="0F172A"/>
          <w:sz w:val="22"/>
          <w:szCs w:val="22"/>
        </w:rPr>
        <w:t xml:space="preserve">Every default: log as negative outcome with all origination signals.</w:t>
      </w:r>
    </w:p>
    <w:p>
      <w:pPr>
        <w:pStyle w:val="ListParagraph"/>
        <w:numPr>
          <w:ilvl w:val="0"/>
          <w:numId w:val="3"/>
        </w:numPr>
        <w:spacing w:after="50" w:before="50"/>
      </w:pPr>
      <w:r>
        <w:rPr>
          <w:rFonts w:ascii="Arial" w:cs="Arial" w:eastAsia="Arial" w:hAnsi="Arial"/>
          <w:color w:val="0F172A"/>
          <w:sz w:val="22"/>
          <w:szCs w:val="22"/>
        </w:rPr>
        <w:t xml:space="preserve">Monthly: compute model performance on last quarter's cohort. Flag any score band where actual default rate deviates &gt; 20% from predicted.</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Success metrics</w:t>
      </w:r>
    </w:p>
    <w:p>
      <w:pPr>
        <w:pStyle w:val="ListParagraph"/>
        <w:numPr>
          <w:ilvl w:val="0"/>
          <w:numId w:val="2"/>
        </w:numPr>
        <w:spacing w:after="50" w:before="50"/>
      </w:pPr>
      <w:r>
        <w:rPr>
          <w:rFonts w:ascii="Arial" w:cs="Arial" w:eastAsia="Arial" w:hAnsi="Arial"/>
          <w:color w:val="0F172A"/>
          <w:sz w:val="22"/>
          <w:szCs w:val="22"/>
        </w:rPr>
        <w:t xml:space="preserve">ML model in shadow mode by month 7</w:t>
      </w:r>
    </w:p>
    <w:p>
      <w:pPr>
        <w:pStyle w:val="ListParagraph"/>
        <w:numPr>
          <w:ilvl w:val="0"/>
          <w:numId w:val="2"/>
        </w:numPr>
        <w:spacing w:after="50" w:before="50"/>
      </w:pPr>
      <w:r>
        <w:rPr>
          <w:rFonts w:ascii="Arial" w:cs="Arial" w:eastAsia="Arial" w:hAnsi="Arial"/>
          <w:color w:val="0F172A"/>
          <w:sz w:val="22"/>
          <w:szCs w:val="22"/>
        </w:rPr>
        <w:t xml:space="preserve">ML model Gini coefficient &gt; 0.40 on first deployment</w:t>
      </w:r>
    </w:p>
    <w:p>
      <w:pPr>
        <w:pStyle w:val="ListParagraph"/>
        <w:numPr>
          <w:ilvl w:val="0"/>
          <w:numId w:val="2"/>
        </w:numPr>
        <w:spacing w:after="50" w:before="50"/>
      </w:pPr>
      <w:r>
        <w:rPr>
          <w:rFonts w:ascii="Arial" w:cs="Arial" w:eastAsia="Arial" w:hAnsi="Arial"/>
          <w:color w:val="0F172A"/>
          <w:sz w:val="22"/>
          <w:szCs w:val="22"/>
        </w:rPr>
        <w:t xml:space="preserve">Model monitoring report generated monthly without manual intervention</w:t>
      </w:r>
    </w:p>
    <w:p>
      <w:pPr>
        <w:pStyle w:val="ListParagraph"/>
        <w:numPr>
          <w:ilvl w:val="0"/>
          <w:numId w:val="2"/>
        </w:numPr>
        <w:spacing w:after="50" w:before="50"/>
      </w:pPr>
      <w:r>
        <w:rPr>
          <w:rFonts w:ascii="Arial" w:cs="Arial" w:eastAsia="Arial" w:hAnsi="Arial"/>
          <w:color w:val="0F172A"/>
          <w:sz w:val="22"/>
          <w:szCs w:val="22"/>
        </w:rPr>
        <w:t xml:space="preserve">Behavioral signals contributing &gt; 15% of total model weight in final ML model</w:t>
      </w:r>
    </w:p>
    <w:p>
      <w:r>
        <w:br w:type="page"/>
      </w:r>
    </w:p>
    <w:p>
      <w:pPr>
        <w:pStyle w:val="Heading1"/>
        <w:spacing w:after="200" w:before="480"/>
      </w:pPr>
      <w:r>
        <w:rPr>
          <w:rFonts w:ascii="Arial" w:cs="Arial" w:eastAsia="Arial" w:hAnsi="Arial"/>
          <w:b/>
          <w:bCs/>
          <w:color w:val="0F172A"/>
          <w:sz w:val="36"/>
          <w:szCs w:val="36"/>
        </w:rPr>
        <w:t xml:space="preserve">8. Product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2"/>
                <w:szCs w:val="22"/>
              </w:rPr>
              <w:t xml:space="preserve">Product gaps — Credit products you are not offering</w:t>
            </w:r>
          </w:p>
        </w:tc>
        <w:tc>
          <w:tcPr>
            <w:tcW w:type="dxa" w:w="234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pPr>
              <w:jc w:val="center"/>
            </w:pPr>
            <w:r>
              <w:rPr>
                <w:rFonts w:ascii="Arial" w:cs="Arial" w:eastAsia="Arial" w:hAnsi="Arial"/>
                <w:b/>
                <w:bCs/>
                <w:color w:val="DC2626"/>
                <w:sz w:val="22"/>
                <w:szCs w:val="22"/>
              </w:rPr>
              <w:t xml:space="preserve">Current: 45/100</w:t>
            </w:r>
          </w:p>
        </w:tc>
        <w:tc>
          <w:tcPr>
            <w:tcW w:type="dxa" w:w="234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jc w:val="center"/>
            </w:pPr>
            <w:r>
              <w:rPr>
                <w:rFonts w:ascii="Arial" w:cs="Arial" w:eastAsia="Arial" w:hAnsi="Arial"/>
                <w:b/>
                <w:bCs/>
                <w:color w:val="16A34A"/>
                <w:sz w:val="22"/>
                <w:szCs w:val="22"/>
              </w:rPr>
              <w:t xml:space="preserve">Target: 85/100</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Current products</w:t>
      </w:r>
    </w:p>
    <w:p>
      <w:pPr>
        <w:spacing w:after="80" w:before="60"/>
      </w:pPr>
      <w:r>
        <w:rPr>
          <w:rFonts w:ascii="Arial" w:cs="Arial" w:eastAsia="Arial" w:hAnsi="Arial"/>
          <w:color w:val="0F172A"/>
          <w:sz w:val="22"/>
          <w:szCs w:val="22"/>
        </w:rPr>
        <w:t xml:space="preserve">FlowOS currently offers referrals to three product types: revenue-based advances, invoice financing, and revolving credit lines. These cover approximately 40% of the capital needs of the typical SMB customer. The remaining 60% includes products you are not offering.</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Missing Product 1 — B2B Buy-Now-Pay-Later / Supply Chain Financing</w:t>
      </w:r>
    </w:p>
    <w:p>
      <w:pPr>
        <w:spacing w:after="80" w:before="60"/>
      </w:pPr>
      <w:r>
        <w:rPr>
          <w:rFonts w:ascii="Arial" w:cs="Arial" w:eastAsia="Arial" w:hAnsi="Arial"/>
          <w:color w:val="0F172A"/>
          <w:sz w:val="22"/>
          <w:szCs w:val="22"/>
        </w:rPr>
        <w:t xml:space="preserve">This is the highest-priority missing product. It solves the single largest cash flow problem Indian SMBs face: suppliers want payment now, customers pay in 60 days.</w:t>
      </w:r>
    </w:p>
    <w:p>
      <w:pPr>
        <w:spacing w:after="80"/>
      </w:pPr>
      <w:r>
        <w:t xml:space="preserve"/>
      </w:r>
    </w:p>
    <w:p>
      <w:pPr>
        <w:pStyle w:val="Heading3"/>
        <w:spacing w:after="100" w:before="240"/>
      </w:pPr>
      <w:r>
        <w:rPr>
          <w:rFonts w:ascii="Arial" w:cs="Arial" w:eastAsia="Arial" w:hAnsi="Arial"/>
          <w:b/>
          <w:bCs/>
          <w:color w:val="0F172A"/>
          <w:sz w:val="24"/>
          <w:szCs w:val="24"/>
        </w:rPr>
        <w:t xml:space="preserve">How it works</w:t>
      </w:r>
    </w:p>
    <w:p>
      <w:pPr>
        <w:pStyle w:val="ListParagraph"/>
        <w:numPr>
          <w:ilvl w:val="0"/>
          <w:numId w:val="3"/>
        </w:numPr>
        <w:spacing w:after="50" w:before="50"/>
      </w:pPr>
      <w:r>
        <w:rPr>
          <w:rFonts w:ascii="Arial" w:cs="Arial" w:eastAsia="Arial" w:hAnsi="Arial"/>
          <w:color w:val="0F172A"/>
          <w:sz w:val="22"/>
          <w:szCs w:val="22"/>
        </w:rPr>
        <w:t xml:space="preserve">SMB owner needs to pay Supplier X Rs 80,000 for goods today.</w:t>
      </w:r>
    </w:p>
    <w:p>
      <w:pPr>
        <w:pStyle w:val="ListParagraph"/>
        <w:numPr>
          <w:ilvl w:val="0"/>
          <w:numId w:val="3"/>
        </w:numPr>
        <w:spacing w:after="50" w:before="50"/>
      </w:pPr>
      <w:r>
        <w:rPr>
          <w:rFonts w:ascii="Arial" w:cs="Arial" w:eastAsia="Arial" w:hAnsi="Arial"/>
          <w:color w:val="0F172A"/>
          <w:sz w:val="22"/>
          <w:szCs w:val="22"/>
        </w:rPr>
        <w:t xml:space="preserve">SMB asks FlowOS to pay Supplier X on their behalf.</w:t>
      </w:r>
    </w:p>
    <w:p>
      <w:pPr>
        <w:pStyle w:val="ListParagraph"/>
        <w:numPr>
          <w:ilvl w:val="0"/>
          <w:numId w:val="3"/>
        </w:numPr>
        <w:spacing w:after="50" w:before="50"/>
      </w:pPr>
      <w:r>
        <w:rPr>
          <w:rFonts w:ascii="Arial" w:cs="Arial" w:eastAsia="Arial" w:hAnsi="Arial"/>
          <w:color w:val="0F172A"/>
          <w:sz w:val="22"/>
          <w:szCs w:val="22"/>
        </w:rPr>
        <w:t xml:space="preserve">FlowOS pays Supplier X Rs 80,000 today (via lender partner funds).</w:t>
      </w:r>
    </w:p>
    <w:p>
      <w:pPr>
        <w:pStyle w:val="ListParagraph"/>
        <w:numPr>
          <w:ilvl w:val="0"/>
          <w:numId w:val="3"/>
        </w:numPr>
        <w:spacing w:after="50" w:before="50"/>
      </w:pPr>
      <w:r>
        <w:rPr>
          <w:rFonts w:ascii="Arial" w:cs="Arial" w:eastAsia="Arial" w:hAnsi="Arial"/>
          <w:color w:val="0F172A"/>
          <w:sz w:val="22"/>
          <w:szCs w:val="22"/>
        </w:rPr>
        <w:t xml:space="preserve">SMB repays FlowOS Rs 80,000 + 2.5% fee within 60 days from customer payments.</w:t>
      </w:r>
    </w:p>
    <w:p>
      <w:pPr>
        <w:pStyle w:val="ListParagraph"/>
        <w:numPr>
          <w:ilvl w:val="0"/>
          <w:numId w:val="3"/>
        </w:numPr>
        <w:spacing w:after="50" w:before="50"/>
      </w:pPr>
      <w:r>
        <w:rPr>
          <w:rFonts w:ascii="Arial" w:cs="Arial" w:eastAsia="Arial" w:hAnsi="Arial"/>
          <w:color w:val="0F172A"/>
          <w:sz w:val="22"/>
          <w:szCs w:val="22"/>
        </w:rPr>
        <w:t xml:space="preserve">FlowOS earns: 2.5% = Rs 2,000 on this transaction. Default risk is very low because you control when and to whom the money flows.</w:t>
      </w:r>
    </w:p>
    <w:p>
      <w:pPr>
        <w:spacing w:after="80"/>
      </w:pPr>
      <w:r>
        <w:t xml:space="preserve"/>
      </w:r>
    </w:p>
    <w:p>
      <w:pPr>
        <w:spacing w:after="80" w:before="60"/>
      </w:pPr>
      <w:r>
        <w:rPr>
          <w:rFonts w:ascii="Arial" w:cs="Arial" w:eastAsia="Arial" w:hAnsi="Arial"/>
          <w:color w:val="0F172A"/>
          <w:sz w:val="22"/>
          <w:szCs w:val="22"/>
        </w:rPr>
        <w:t xml:space="preserve">This is Solv, Rupifi, and Decentro's core business in India. The market is enormous and underserved. Your cash flow data makes you uniquely positioned to assess which suppliers are trustworthy and which SMBs can repay within the cycle.</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Missing Product 2 — Equipment Financing</w:t>
      </w:r>
    </w:p>
    <w:p>
      <w:pPr>
        <w:spacing w:after="80" w:before="60"/>
      </w:pPr>
      <w:r>
        <w:rPr>
          <w:rFonts w:ascii="Arial" w:cs="Arial" w:eastAsia="Arial" w:hAnsi="Arial"/>
          <w:color w:val="0F172A"/>
          <w:sz w:val="22"/>
          <w:szCs w:val="22"/>
        </w:rPr>
        <w:t xml:space="preserve">Asset-backed lending has 30-50% lower default rates than unsecured lending because the lender can repossess the asset if the borrower defaults. A restaurant owner buying a new freezer or a contractor buying a new vehicle has genuine collateral to offer.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1500"/>
        <w:gridCol w:w="1560"/>
      </w:tblGrid>
      <w:tr>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Equipment type</w:t>
            </w:r>
          </w:p>
        </w:tc>
        <w:tc>
          <w:tcPr>
            <w:tcW w:type="dxa" w:w="2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Typical amount</w:t>
            </w:r>
          </w:p>
        </w:tc>
        <w:tc>
          <w:tcPr>
            <w:tcW w:type="dxa" w:w="18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Term</w:t>
            </w:r>
          </w:p>
        </w:tc>
        <w:tc>
          <w:tcPr>
            <w:tcW w:type="dxa" w:w="1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LTV</w:t>
            </w:r>
          </w:p>
        </w:tc>
        <w:tc>
          <w:tcPr>
            <w:tcW w:type="dxa" w:w="15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Default rate</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Restaurant equipment</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2L - Rs 20L</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12-48 months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70-80%</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3-5%</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Commercial vehicles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5L - Rs 30L</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24-60 months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75-85%</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4-6%</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IT equipment</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50K - Rs 5L</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12-36 months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60-70%</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2-4%</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Industrial machinery</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10L - Rs 1Cr</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36-84 months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70-80%</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3-5%</w:t>
            </w:r>
          </w:p>
        </w:tc>
      </w:tr>
    </w:tbl>
    <w:p>
      <w:pPr>
        <w:spacing w:after="80"/>
      </w:pPr>
      <w:r>
        <w:t xml:space="preserve"/>
      </w:r>
    </w:p>
    <w:p>
      <w:pPr>
        <w:spacing w:after="80" w:before="60"/>
      </w:pPr>
      <w:r>
        <w:rPr>
          <w:rFonts w:ascii="Arial" w:cs="Arial" w:eastAsia="Arial" w:hAnsi="Arial"/>
          <w:color w:val="0F172A"/>
          <w:sz w:val="22"/>
          <w:szCs w:val="22"/>
        </w:rPr>
        <w:t xml:space="preserve">Partner with a NBFC that specialises in equipment finance (Ugro Capital, Five Star Business Finance). You do origination and servicing; they provide capital.</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Missing Product 3 — Credit-Building Product for Thin-File Businesses</w:t>
      </w:r>
    </w:p>
    <w:p>
      <w:pPr>
        <w:spacing w:after="80" w:before="60"/>
      </w:pPr>
      <w:r>
        <w:rPr>
          <w:rFonts w:ascii="Arial" w:cs="Arial" w:eastAsia="Arial" w:hAnsi="Arial"/>
          <w:color w:val="0F172A"/>
          <w:sz w:val="22"/>
          <w:szCs w:val="22"/>
        </w:rPr>
        <w:t xml:space="preserve">A business with only 2-3 months of history cannot qualify for any standard product. But these are your future best customers. Instead of declining them, offer a secured micro-credit line:</w:t>
      </w:r>
    </w:p>
    <w:p>
      <w:pPr>
        <w:pStyle w:val="ListParagraph"/>
        <w:numPr>
          <w:ilvl w:val="0"/>
          <w:numId w:val="2"/>
        </w:numPr>
        <w:spacing w:after="50" w:before="50"/>
      </w:pPr>
      <w:r>
        <w:rPr>
          <w:rFonts w:ascii="Arial" w:cs="Arial" w:eastAsia="Arial" w:hAnsi="Arial"/>
          <w:color w:val="0F172A"/>
          <w:sz w:val="22"/>
          <w:szCs w:val="22"/>
        </w:rPr>
        <w:t xml:space="preserve">Require the business to deposit Rs 10,000 as a security deposit into a FlowOS-linked account</w:t>
      </w:r>
    </w:p>
    <w:p>
      <w:pPr>
        <w:pStyle w:val="ListParagraph"/>
        <w:numPr>
          <w:ilvl w:val="0"/>
          <w:numId w:val="2"/>
        </w:numPr>
        <w:spacing w:after="50" w:before="50"/>
      </w:pPr>
      <w:r>
        <w:rPr>
          <w:rFonts w:ascii="Arial" w:cs="Arial" w:eastAsia="Arial" w:hAnsi="Arial"/>
          <w:color w:val="0F172A"/>
          <w:sz w:val="22"/>
          <w:szCs w:val="22"/>
        </w:rPr>
        <w:t xml:space="preserve">Grant a Rs 8,000 credit line (80% of deposit — covers your risk)</w:t>
      </w:r>
    </w:p>
    <w:p>
      <w:pPr>
        <w:pStyle w:val="ListParagraph"/>
        <w:numPr>
          <w:ilvl w:val="0"/>
          <w:numId w:val="2"/>
        </w:numPr>
        <w:spacing w:after="50" w:before="50"/>
      </w:pPr>
      <w:r>
        <w:rPr>
          <w:rFonts w:ascii="Arial" w:cs="Arial" w:eastAsia="Arial" w:hAnsi="Arial"/>
          <w:color w:val="0F172A"/>
          <w:sz w:val="22"/>
          <w:szCs w:val="22"/>
        </w:rPr>
        <w:t xml:space="preserve">Charge 3% per month — high by lending standards, but the business is getting credit access they cannot get anywhere else</w:t>
      </w:r>
    </w:p>
    <w:p>
      <w:pPr>
        <w:pStyle w:val="ListParagraph"/>
        <w:numPr>
          <w:ilvl w:val="0"/>
          <w:numId w:val="2"/>
        </w:numPr>
        <w:spacing w:after="50" w:before="50"/>
      </w:pPr>
      <w:r>
        <w:rPr>
          <w:rFonts w:ascii="Arial" w:cs="Arial" w:eastAsia="Arial" w:hAnsi="Arial"/>
          <w:color w:val="0F172A"/>
          <w:sz w:val="22"/>
          <w:szCs w:val="22"/>
        </w:rPr>
        <w:t xml:space="preserve">After 3 months of clean repayment, return the deposit and graduate them to standard products</w:t>
      </w:r>
    </w:p>
    <w:p>
      <w:pPr>
        <w:pStyle w:val="ListParagraph"/>
        <w:numPr>
          <w:ilvl w:val="0"/>
          <w:numId w:val="2"/>
        </w:numPr>
        <w:spacing w:after="50" w:before="50"/>
      </w:pPr>
      <w:r>
        <w:rPr>
          <w:rFonts w:ascii="Arial" w:cs="Arial" w:eastAsia="Arial" w:hAnsi="Arial"/>
          <w:color w:val="0F172A"/>
          <w:sz w:val="22"/>
          <w:szCs w:val="22"/>
        </w:rPr>
        <w:t xml:space="preserve">This converts 'decline' to 'not yet' and builds your pipeline of future qualified borrowers</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Missing Product 4 — Trade Credit Insurance</w:t>
      </w:r>
    </w:p>
    <w:p>
      <w:pPr>
        <w:spacing w:after="80" w:before="60"/>
      </w:pPr>
      <w:r>
        <w:rPr>
          <w:rFonts w:ascii="Arial" w:cs="Arial" w:eastAsia="Arial" w:hAnsi="Arial"/>
          <w:color w:val="0F172A"/>
          <w:sz w:val="22"/>
          <w:szCs w:val="22"/>
        </w:rPr>
        <w:t xml:space="preserve">Your borrowers have concentration risk — they are exposed to large customers who may not pay. You can offer trade credit insurance: FlowOS guarantees payment of up to Rs 5L if a key customer defaults on an invoice. Price at 1.5-2% of insured invoice value. Partner with a general insurance company (Bajaj Allianz, HDFC Ergo) who underwrites the risk; you distribute and earn commission.</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2500"/>
        <w:gridCol w:w="1360"/>
      </w:tblGrid>
      <w:tr>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Product</w:t>
            </w:r>
          </w:p>
        </w:tc>
        <w:tc>
          <w:tcPr>
            <w:tcW w:type="dxa" w:w="1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Phase</w:t>
            </w:r>
          </w:p>
        </w:tc>
        <w:tc>
          <w:tcPr>
            <w:tcW w:type="dxa" w:w="1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Effort</w:t>
            </w:r>
          </w:p>
        </w:tc>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Revenue model</w:t>
            </w:r>
          </w:p>
        </w:tc>
        <w:tc>
          <w:tcPr>
            <w:tcW w:type="dxa" w:w="13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Why this order</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B2B BNPL / supply chain</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 4-6</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High</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2-3% fee per transaction</w:t>
            </w:r>
          </w:p>
        </w:tc>
        <w:tc>
          <w:tcPr>
            <w:tcW w:type="dxa" w:w="1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Highest margin, lowest default risk</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Credit-building secured line</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 3-4</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Medium</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3% per month + graduation fees</w:t>
            </w:r>
          </w:p>
        </w:tc>
        <w:tc>
          <w:tcPr>
            <w:tcW w:type="dxa" w:w="1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Builds future pipeline, low capital needed</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Equipment financing</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 6-9</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Medium</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1-2% referral + servicing fee</w:t>
            </w:r>
          </w:p>
        </w:tc>
        <w:tc>
          <w:tcPr>
            <w:tcW w:type="dxa" w:w="1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Asset-backed = safe for scaling</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Trade credit insurance</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 9-12</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Low</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1.5-2% of insured amount</w:t>
            </w:r>
          </w:p>
        </w:tc>
        <w:tc>
          <w:tcPr>
            <w:tcW w:type="dxa" w:w="1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Purely distribution, no balance sheet risk</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Success metrics</w:t>
      </w:r>
    </w:p>
    <w:p>
      <w:pPr>
        <w:pStyle w:val="ListParagraph"/>
        <w:numPr>
          <w:ilvl w:val="0"/>
          <w:numId w:val="2"/>
        </w:numPr>
        <w:spacing w:after="50" w:before="50"/>
      </w:pPr>
      <w:r>
        <w:rPr>
          <w:rFonts w:ascii="Arial" w:cs="Arial" w:eastAsia="Arial" w:hAnsi="Arial"/>
          <w:color w:val="0F172A"/>
          <w:sz w:val="22"/>
          <w:szCs w:val="22"/>
        </w:rPr>
        <w:t xml:space="preserve">B2B BNPL pilot: 20 transactions in first 60 days of launch</w:t>
      </w:r>
    </w:p>
    <w:p>
      <w:pPr>
        <w:pStyle w:val="ListParagraph"/>
        <w:numPr>
          <w:ilvl w:val="0"/>
          <w:numId w:val="2"/>
        </w:numPr>
        <w:spacing w:after="50" w:before="50"/>
      </w:pPr>
      <w:r>
        <w:rPr>
          <w:rFonts w:ascii="Arial" w:cs="Arial" w:eastAsia="Arial" w:hAnsi="Arial"/>
          <w:color w:val="0F172A"/>
          <w:sz w:val="22"/>
          <w:szCs w:val="22"/>
        </w:rPr>
        <w:t xml:space="preserve">Credit-building product: 30% of declined applicants convert to secured line</w:t>
      </w:r>
    </w:p>
    <w:p>
      <w:pPr>
        <w:pStyle w:val="ListParagraph"/>
        <w:numPr>
          <w:ilvl w:val="0"/>
          <w:numId w:val="2"/>
        </w:numPr>
        <w:spacing w:after="50" w:before="50"/>
      </w:pPr>
      <w:r>
        <w:rPr>
          <w:rFonts w:ascii="Arial" w:cs="Arial" w:eastAsia="Arial" w:hAnsi="Arial"/>
          <w:color w:val="0F172A"/>
          <w:sz w:val="22"/>
          <w:szCs w:val="22"/>
        </w:rPr>
        <w:t xml:space="preserve">Equipment financing: at least one lender partner signed before launch</w:t>
      </w:r>
    </w:p>
    <w:p>
      <w:pPr>
        <w:pStyle w:val="ListParagraph"/>
        <w:numPr>
          <w:ilvl w:val="0"/>
          <w:numId w:val="2"/>
        </w:numPr>
        <w:spacing w:after="50" w:before="50"/>
      </w:pPr>
      <w:r>
        <w:rPr>
          <w:rFonts w:ascii="Arial" w:cs="Arial" w:eastAsia="Arial" w:hAnsi="Arial"/>
          <w:color w:val="0F172A"/>
          <w:sz w:val="22"/>
          <w:szCs w:val="22"/>
        </w:rPr>
        <w:t xml:space="preserve">Product revenue mix: non-standard products represent &gt; 20% of total credit revenue by month 12</w:t>
      </w:r>
    </w:p>
    <w:p>
      <w:r>
        <w:br w:type="page"/>
      </w:r>
    </w:p>
    <w:p>
      <w:pPr>
        <w:pStyle w:val="Heading1"/>
        <w:spacing w:after="200" w:before="480"/>
      </w:pPr>
      <w:r>
        <w:rPr>
          <w:rFonts w:ascii="Arial" w:cs="Arial" w:eastAsia="Arial" w:hAnsi="Arial"/>
          <w:b/>
          <w:bCs/>
          <w:color w:val="0F172A"/>
          <w:sz w:val="36"/>
          <w:szCs w:val="36"/>
        </w:rPr>
        <w:t xml:space="preserve">9. Repayment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bCs/>
                <w:color w:val="0F172A"/>
                <w:sz w:val="22"/>
                <w:szCs w:val="22"/>
              </w:rPr>
              <w:t xml:space="preserve">Repayment mechanics — How money actually comes back</w:t>
            </w:r>
          </w:p>
        </w:tc>
        <w:tc>
          <w:tcPr>
            <w:tcW w:type="dxa" w:w="234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pPr>
              <w:jc w:val="center"/>
            </w:pPr>
            <w:r>
              <w:rPr>
                <w:rFonts w:ascii="Arial" w:cs="Arial" w:eastAsia="Arial" w:hAnsi="Arial"/>
                <w:b/>
                <w:bCs/>
                <w:color w:val="DC2626"/>
                <w:sz w:val="22"/>
                <w:szCs w:val="22"/>
              </w:rPr>
              <w:t xml:space="preserve">Current: 50/100</w:t>
            </w:r>
          </w:p>
        </w:tc>
        <w:tc>
          <w:tcPr>
            <w:tcW w:type="dxa" w:w="234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jc w:val="center"/>
            </w:pPr>
            <w:r>
              <w:rPr>
                <w:rFonts w:ascii="Arial" w:cs="Arial" w:eastAsia="Arial" w:hAnsi="Arial"/>
                <w:b/>
                <w:bCs/>
                <w:color w:val="16A34A"/>
                <w:sz w:val="22"/>
                <w:szCs w:val="22"/>
              </w:rPr>
              <w:t xml:space="preserve">Target: 90/100</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Current state — what is done well</w:t>
      </w:r>
    </w:p>
    <w:p>
      <w:pPr>
        <w:spacing w:after="80" w:before="60"/>
      </w:pPr>
      <w:r>
        <w:rPr>
          <w:rFonts w:ascii="Arial" w:cs="Arial" w:eastAsia="Arial" w:hAnsi="Arial"/>
          <w:color w:val="0F172A"/>
          <w:sz w:val="22"/>
          <w:szCs w:val="22"/>
        </w:rPr>
        <w:t xml:space="preserve">Auto-debit of a percentage of revenue is the right fundamental structure. It is cash-flow-sensitive, it flexes with business performance, and it is fairer than fixed monthly payments. The repayment impact simulation showing the loan's effect on the cash flow forecast is excellent. Keep both.</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1 — No payment smoothing — the volatility problem</w:t>
      </w:r>
    </w:p>
    <w:p>
      <w:pPr>
        <w:spacing w:after="80" w:before="60"/>
      </w:pPr>
      <w:r>
        <w:rPr>
          <w:rFonts w:ascii="Arial" w:cs="Arial" w:eastAsia="Arial" w:hAnsi="Arial"/>
          <w:color w:val="0F172A"/>
          <w:sz w:val="22"/>
          <w:szCs w:val="22"/>
        </w:rPr>
        <w:t xml:space="preserve">A fixed percentage repayment creates a serious problem for seasonal businesses. A restaurant doing Rs 3L in December pays Rs 21,000 that month (at 7%) but only Rs 5,600 in January (doing Rs 80K). The January payment might not cover the interest, making the loan technically in arrears even though the business is perfectly healthy.</w:t>
      </w:r>
    </w:p>
    <w:p>
      <w:pPr>
        <w:spacing w:after="80"/>
      </w:pPr>
      <w:r>
        <w:t xml:space="preserve"/>
      </w:r>
    </w:p>
    <w:p>
      <w:pPr>
        <w:pStyle w:val="Heading3"/>
        <w:spacing w:after="100" w:before="240"/>
      </w:pPr>
      <w:r>
        <w:rPr>
          <w:rFonts w:ascii="Arial" w:cs="Arial" w:eastAsia="Arial" w:hAnsi="Arial"/>
          <w:b/>
          <w:bCs/>
          <w:color w:val="0F172A"/>
          <w:sz w:val="24"/>
          <w:szCs w:val="24"/>
        </w:rPr>
        <w:t xml:space="preserve">Solution: floor and ceiling repayment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500"/>
        <w:gridCol w:w="1560"/>
      </w:tblGrid>
      <w:tr>
        <w:tc>
          <w:tcPr>
            <w:tcW w:type="dxa" w:w="28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Revenue scenario</w:t>
            </w:r>
          </w:p>
        </w:tc>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Standard 7% payment</w:t>
            </w:r>
          </w:p>
        </w:tc>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Floor-ceiling payment</w:t>
            </w:r>
          </w:p>
        </w:tc>
        <w:tc>
          <w:tcPr>
            <w:tcW w:type="dxa" w:w="15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Outcome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Peak month: Rs 3,00,000</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21,000</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21,000 (same)</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Accelerates repayment in good months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Normal month: Rs 1,50,000</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10,500</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10,500 (same)</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No change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Slow month: Rs 80,000</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5,600</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7,000 (floor)</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Floor ensures minimum debt service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Crisis month: Rs 30,000</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2,100</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3,500 (floor)</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Keeps loan current, extends term slightly</w:t>
            </w:r>
          </w:p>
        </w:tc>
      </w:tr>
    </w:tbl>
    <w:p>
      <w:pPr>
        <w:spacing w:after="80"/>
      </w:pPr>
      <w:r>
        <w:t xml:space="preserve"/>
      </w:r>
    </w:p>
    <w:p>
      <w:pPr>
        <w:spacing w:after="80" w:before="60"/>
      </w:pPr>
      <w:r>
        <w:rPr>
          <w:rFonts w:ascii="Arial" w:cs="Arial" w:eastAsia="Arial" w:hAnsi="Arial"/>
          <w:color w:val="0F172A"/>
          <w:sz w:val="22"/>
          <w:szCs w:val="22"/>
        </w:rPr>
        <w:t xml:space="preserve">Set floor = minimum interest + 0.5% principal per month. Set ceiling = 12% of monthly revenue (prevents over-extraction in good months). Show both limits to the borrower before they accept.</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2 — No early repayment benefit</w:t>
      </w:r>
    </w:p>
    <w:p>
      <w:pPr>
        <w:spacing w:after="80" w:before="60"/>
      </w:pPr>
      <w:r>
        <w:rPr>
          <w:rFonts w:ascii="Arial" w:cs="Arial" w:eastAsia="Arial" w:hAnsi="Arial"/>
          <w:color w:val="0F172A"/>
          <w:sz w:val="22"/>
          <w:szCs w:val="22"/>
        </w:rPr>
        <w:t xml:space="preserve">Most lending platforms either charge an exit fee (bad practice) or offer nothing for early repayment (wasted opportunity). Build an early repayment reward:</w:t>
      </w:r>
    </w:p>
    <w:p>
      <w:pPr>
        <w:pStyle w:val="ListParagraph"/>
        <w:numPr>
          <w:ilvl w:val="0"/>
          <w:numId w:val="2"/>
        </w:numPr>
        <w:spacing w:after="50" w:before="50"/>
      </w:pPr>
      <w:r>
        <w:rPr>
          <w:rFonts w:ascii="Arial" w:cs="Arial" w:eastAsia="Arial" w:hAnsi="Arial"/>
          <w:color w:val="0F172A"/>
          <w:sz w:val="22"/>
          <w:szCs w:val="22"/>
        </w:rPr>
        <w:t xml:space="preserve">Full early repayment within 30 days of disbursal: waive 100% of remaining fee</w:t>
      </w:r>
    </w:p>
    <w:p>
      <w:pPr>
        <w:pStyle w:val="ListParagraph"/>
        <w:numPr>
          <w:ilvl w:val="0"/>
          <w:numId w:val="2"/>
        </w:numPr>
        <w:spacing w:after="50" w:before="50"/>
      </w:pPr>
      <w:r>
        <w:rPr>
          <w:rFonts w:ascii="Arial" w:cs="Arial" w:eastAsia="Arial" w:hAnsi="Arial"/>
          <w:color w:val="0F172A"/>
          <w:sz w:val="22"/>
          <w:szCs w:val="22"/>
        </w:rPr>
        <w:t xml:space="preserve">Full early repayment at 31-60 days: 30% discount on remaining fee</w:t>
      </w:r>
    </w:p>
    <w:p>
      <w:pPr>
        <w:pStyle w:val="ListParagraph"/>
        <w:numPr>
          <w:ilvl w:val="0"/>
          <w:numId w:val="2"/>
        </w:numPr>
        <w:spacing w:after="50" w:before="50"/>
      </w:pPr>
      <w:r>
        <w:rPr>
          <w:rFonts w:ascii="Arial" w:cs="Arial" w:eastAsia="Arial" w:hAnsi="Arial"/>
          <w:color w:val="0F172A"/>
          <w:sz w:val="22"/>
          <w:szCs w:val="22"/>
        </w:rPr>
        <w:t xml:space="preserve">Partial early repayment of &gt; 25% of balance: unlock next loan at 50bps better rate</w:t>
      </w:r>
    </w:p>
    <w:p>
      <w:pPr>
        <w:spacing w:after="80" w:before="60"/>
      </w:pPr>
      <w:r>
        <w:rPr>
          <w:rFonts w:ascii="Arial" w:cs="Arial" w:eastAsia="Arial" w:hAnsi="Arial"/>
          <w:color w:val="0F172A"/>
          <w:sz w:val="22"/>
          <w:szCs w:val="22"/>
        </w:rPr>
        <w:t xml:space="preserve">This converts payoff into a re-engagement hook — the moment they repay early is the moment they are most likely to want their next loan.</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3 — Repayment data not feeding model</w:t>
      </w:r>
    </w:p>
    <w:p>
      <w:pPr>
        <w:spacing w:after="80" w:before="60"/>
      </w:pPr>
      <w:r>
        <w:rPr>
          <w:rFonts w:ascii="Arial" w:cs="Arial" w:eastAsia="Arial" w:hAnsi="Arial"/>
          <w:color w:val="0F172A"/>
          <w:sz w:val="22"/>
          <w:szCs w:val="22"/>
        </w:rPr>
        <w:t xml:space="preserve">Every on-time payment and every missed payment is training data. You are not capturing it. Build the feedback loop explicitly: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Event</w:t>
            </w:r>
          </w:p>
        </w:tc>
        <w:tc>
          <w:tcPr>
            <w:tcW w:type="dxa" w:w="3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Data to capture</w:t>
            </w:r>
          </w:p>
        </w:tc>
        <w:tc>
          <w:tcPr>
            <w:tcW w:type="dxa" w:w="38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Where to use it</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Payment made on time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Amount, days from due date, revenue that month</w:t>
            </w:r>
          </w:p>
        </w:tc>
        <w:tc>
          <w:tcPr>
            <w:tcW w:type="dxa" w:w="3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Positive signal in ML model</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Payment made late (1-7 days)</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Days late, revenue situation, communication response</w:t>
            </w:r>
          </w:p>
        </w:tc>
        <w:tc>
          <w:tcPr>
            <w:tcW w:type="dxa" w:w="3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Mild negative signal</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Payment missed</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Days missed, revenue, intervention taken, resolution</w:t>
            </w:r>
          </w:p>
        </w:tc>
        <w:tc>
          <w:tcPr>
            <w:tcW w:type="dxa" w:w="3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Strong negative signal</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Early repayment</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Days early, amount, revenue situation</w:t>
            </w:r>
          </w:p>
        </w:tc>
        <w:tc>
          <w:tcPr>
            <w:tcW w:type="dxa" w:w="3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Strong positive signal</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Covenant breach</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Which covenant, severity, business response</w:t>
            </w:r>
          </w:p>
        </w:tc>
        <w:tc>
          <w:tcPr>
            <w:tcW w:type="dxa" w:w="3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Risk model input</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Gap 4 — No webhook-based collection</w:t>
      </w:r>
    </w:p>
    <w:p>
      <w:pPr>
        <w:spacing w:after="80" w:before="60"/>
      </w:pPr>
      <w:r>
        <w:rPr>
          <w:rFonts w:ascii="Arial" w:cs="Arial" w:eastAsia="Arial" w:hAnsi="Arial"/>
          <w:color w:val="0F172A"/>
          <w:sz w:val="22"/>
          <w:szCs w:val="22"/>
        </w:rPr>
        <w:t xml:space="preserve">Currently, repayment collection depends on scheduled bank debits. This fails if the business moves banks, changes account numbers, or has insufficient funds at the scheduled debit time. Build a more resilient collection architecture:</w:t>
      </w:r>
    </w:p>
    <w:p>
      <w:pPr>
        <w:pStyle w:val="ListParagraph"/>
        <w:numPr>
          <w:ilvl w:val="0"/>
          <w:numId w:val="3"/>
        </w:numPr>
        <w:spacing w:after="50" w:before="50"/>
      </w:pPr>
      <w:r>
        <w:rPr>
          <w:rFonts w:ascii="Arial" w:cs="Arial" w:eastAsia="Arial" w:hAnsi="Arial"/>
          <w:color w:val="0F172A"/>
          <w:sz w:val="22"/>
          <w:szCs w:val="22"/>
        </w:rPr>
        <w:t xml:space="preserve">Primary: scheduled ACH / NACH debit on the repayment date (current system)</w:t>
      </w:r>
    </w:p>
    <w:p>
      <w:pPr>
        <w:pStyle w:val="ListParagraph"/>
        <w:numPr>
          <w:ilvl w:val="0"/>
          <w:numId w:val="3"/>
        </w:numPr>
        <w:spacing w:after="50" w:before="50"/>
      </w:pPr>
      <w:r>
        <w:rPr>
          <w:rFonts w:ascii="Arial" w:cs="Arial" w:eastAsia="Arial" w:hAnsi="Arial"/>
          <w:color w:val="0F172A"/>
          <w:sz w:val="22"/>
          <w:szCs w:val="22"/>
        </w:rPr>
        <w:t xml:space="preserve">Backup: if primary fails, retry after 48 hours with a smaller amount (the floor amount)</w:t>
      </w:r>
    </w:p>
    <w:p>
      <w:pPr>
        <w:pStyle w:val="ListParagraph"/>
        <w:numPr>
          <w:ilvl w:val="0"/>
          <w:numId w:val="3"/>
        </w:numPr>
        <w:spacing w:after="50" w:before="50"/>
      </w:pPr>
      <w:r>
        <w:rPr>
          <w:rFonts w:ascii="Arial" w:cs="Arial" w:eastAsia="Arial" w:hAnsi="Arial"/>
          <w:color w:val="0F172A"/>
          <w:sz w:val="22"/>
          <w:szCs w:val="22"/>
        </w:rPr>
        <w:t xml:space="preserve">Revenue-triggered: integrate with the bank account such that when a large credit arrives (above a threshold), a repayment is automatically triggered. This is how Stripe Capital works — they take their percentage the moment revenue lands.</w:t>
      </w:r>
    </w:p>
    <w:p>
      <w:pPr>
        <w:pStyle w:val="ListParagraph"/>
        <w:numPr>
          <w:ilvl w:val="0"/>
          <w:numId w:val="3"/>
        </w:numPr>
        <w:spacing w:after="50" w:before="50"/>
      </w:pPr>
      <w:r>
        <w:rPr>
          <w:rFonts w:ascii="Arial" w:cs="Arial" w:eastAsia="Arial" w:hAnsi="Arial"/>
          <w:color w:val="0F172A"/>
          <w:sz w:val="22"/>
          <w:szCs w:val="22"/>
        </w:rPr>
        <w:t xml:space="preserve">Manual fallback: if both auto methods fail, generate a payment link and send to the borrower with a 5-day window before late fee applies</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Repayment dashboard for borrowers</w:t>
      </w:r>
    </w:p>
    <w:p>
      <w:pPr>
        <w:spacing w:after="80" w:before="60"/>
      </w:pPr>
      <w:r>
        <w:rPr>
          <w:rFonts w:ascii="Arial" w:cs="Arial" w:eastAsia="Arial" w:hAnsi="Arial"/>
          <w:color w:val="0F172A"/>
          <w:sz w:val="22"/>
          <w:szCs w:val="22"/>
        </w:rPr>
        <w:t xml:space="preserve">Build a borrower-facing repayment view that shows clearly:</w:t>
      </w:r>
    </w:p>
    <w:p>
      <w:pPr>
        <w:pStyle w:val="ListParagraph"/>
        <w:numPr>
          <w:ilvl w:val="0"/>
          <w:numId w:val="2"/>
        </w:numPr>
        <w:spacing w:after="50" w:before="50"/>
      </w:pPr>
      <w:r>
        <w:rPr>
          <w:rFonts w:ascii="Arial" w:cs="Arial" w:eastAsia="Arial" w:hAnsi="Arial"/>
          <w:color w:val="0F172A"/>
          <w:sz w:val="22"/>
          <w:szCs w:val="22"/>
        </w:rPr>
        <w:t xml:space="preserve">Total borrowed and total repaid to date</w:t>
      </w:r>
    </w:p>
    <w:p>
      <w:pPr>
        <w:pStyle w:val="ListParagraph"/>
        <w:numPr>
          <w:ilvl w:val="0"/>
          <w:numId w:val="2"/>
        </w:numPr>
        <w:spacing w:after="50" w:before="50"/>
      </w:pPr>
      <w:r>
        <w:rPr>
          <w:rFonts w:ascii="Arial" w:cs="Arial" w:eastAsia="Arial" w:hAnsi="Arial"/>
          <w:color w:val="0F172A"/>
          <w:sz w:val="22"/>
          <w:szCs w:val="22"/>
        </w:rPr>
        <w:t xml:space="preserve">Amount remaining</w:t>
      </w:r>
    </w:p>
    <w:p>
      <w:pPr>
        <w:pStyle w:val="ListParagraph"/>
        <w:numPr>
          <w:ilvl w:val="0"/>
          <w:numId w:val="2"/>
        </w:numPr>
        <w:spacing w:after="50" w:before="50"/>
      </w:pPr>
      <w:r>
        <w:rPr>
          <w:rFonts w:ascii="Arial" w:cs="Arial" w:eastAsia="Arial" w:hAnsi="Arial"/>
          <w:color w:val="0F172A"/>
          <w:sz w:val="22"/>
          <w:szCs w:val="22"/>
        </w:rPr>
        <w:t xml:space="preserve">Next scheduled payment amount and date</w:t>
      </w:r>
    </w:p>
    <w:p>
      <w:pPr>
        <w:pStyle w:val="ListParagraph"/>
        <w:numPr>
          <w:ilvl w:val="0"/>
          <w:numId w:val="2"/>
        </w:numPr>
        <w:spacing w:after="50" w:before="50"/>
      </w:pPr>
      <w:r>
        <w:rPr>
          <w:rFonts w:ascii="Arial" w:cs="Arial" w:eastAsia="Arial" w:hAnsi="Arial"/>
          <w:color w:val="0F172A"/>
          <w:sz w:val="22"/>
          <w:szCs w:val="22"/>
        </w:rPr>
        <w:t xml:space="preserve">Projected payoff date at current revenue trajectory</w:t>
      </w:r>
    </w:p>
    <w:p>
      <w:pPr>
        <w:pStyle w:val="ListParagraph"/>
        <w:numPr>
          <w:ilvl w:val="0"/>
          <w:numId w:val="2"/>
        </w:numPr>
        <w:spacing w:after="50" w:before="50"/>
      </w:pPr>
      <w:r>
        <w:rPr>
          <w:rFonts w:ascii="Arial" w:cs="Arial" w:eastAsia="Arial" w:hAnsi="Arial"/>
          <w:color w:val="0F172A"/>
          <w:sz w:val="22"/>
          <w:szCs w:val="22"/>
        </w:rPr>
        <w:t xml:space="preserve">'What if' slider: if my revenue increases by X%, I pay off in Y months</w:t>
      </w:r>
    </w:p>
    <w:p>
      <w:pPr>
        <w:pStyle w:val="ListParagraph"/>
        <w:numPr>
          <w:ilvl w:val="0"/>
          <w:numId w:val="2"/>
        </w:numPr>
        <w:spacing w:after="50" w:before="50"/>
      </w:pPr>
      <w:r>
        <w:rPr>
          <w:rFonts w:ascii="Arial" w:cs="Arial" w:eastAsia="Arial" w:hAnsi="Arial"/>
          <w:color w:val="0F172A"/>
          <w:sz w:val="22"/>
          <w:szCs w:val="22"/>
        </w:rPr>
        <w:t xml:space="preserve">Early repayment calculator: pay off now and save Rs X in remaining fees</w:t>
      </w:r>
    </w:p>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Success metrics</w:t>
      </w:r>
    </w:p>
    <w:p>
      <w:pPr>
        <w:pStyle w:val="ListParagraph"/>
        <w:numPr>
          <w:ilvl w:val="0"/>
          <w:numId w:val="2"/>
        </w:numPr>
        <w:spacing w:after="50" w:before="50"/>
      </w:pPr>
      <w:r>
        <w:rPr>
          <w:rFonts w:ascii="Arial" w:cs="Arial" w:eastAsia="Arial" w:hAnsi="Arial"/>
          <w:color w:val="0F172A"/>
          <w:sz w:val="22"/>
          <w:szCs w:val="22"/>
        </w:rPr>
        <w:t xml:space="preserve">Payment smoothing: no borrower makes a repayment that leaves them with less than 3 weeks of operating expenses</w:t>
      </w:r>
    </w:p>
    <w:p>
      <w:pPr>
        <w:pStyle w:val="ListParagraph"/>
        <w:numPr>
          <w:ilvl w:val="0"/>
          <w:numId w:val="2"/>
        </w:numPr>
        <w:spacing w:after="50" w:before="50"/>
      </w:pPr>
      <w:r>
        <w:rPr>
          <w:rFonts w:ascii="Arial" w:cs="Arial" w:eastAsia="Arial" w:hAnsi="Arial"/>
          <w:color w:val="0F172A"/>
          <w:sz w:val="22"/>
          <w:szCs w:val="22"/>
        </w:rPr>
        <w:t xml:space="preserve">Early repayment rate: target &gt; 15% of borrowers repay more than 30 days early</w:t>
      </w:r>
    </w:p>
    <w:p>
      <w:pPr>
        <w:pStyle w:val="ListParagraph"/>
        <w:numPr>
          <w:ilvl w:val="0"/>
          <w:numId w:val="2"/>
        </w:numPr>
        <w:spacing w:after="50" w:before="50"/>
      </w:pPr>
      <w:r>
        <w:rPr>
          <w:rFonts w:ascii="Arial" w:cs="Arial" w:eastAsia="Arial" w:hAnsi="Arial"/>
          <w:color w:val="0F172A"/>
          <w:sz w:val="22"/>
          <w:szCs w:val="22"/>
        </w:rPr>
        <w:t xml:space="preserve">Payment success rate on first attempt: target &gt; 90%</w:t>
      </w:r>
    </w:p>
    <w:p>
      <w:pPr>
        <w:pStyle w:val="ListParagraph"/>
        <w:numPr>
          <w:ilvl w:val="0"/>
          <w:numId w:val="2"/>
        </w:numPr>
        <w:spacing w:after="50" w:before="50"/>
      </w:pPr>
      <w:r>
        <w:rPr>
          <w:rFonts w:ascii="Arial" w:cs="Arial" w:eastAsia="Arial" w:hAnsi="Arial"/>
          <w:color w:val="0F172A"/>
          <w:sz w:val="22"/>
          <w:szCs w:val="22"/>
        </w:rPr>
        <w:t xml:space="preserve">Revenue-triggered collection deployed within 6 months of first disbursal</w:t>
      </w:r>
    </w:p>
    <w:p>
      <w:pPr>
        <w:pStyle w:val="ListParagraph"/>
        <w:numPr>
          <w:ilvl w:val="0"/>
          <w:numId w:val="2"/>
        </w:numPr>
        <w:spacing w:after="50" w:before="50"/>
      </w:pPr>
      <w:r>
        <w:rPr>
          <w:rFonts w:ascii="Arial" w:cs="Arial" w:eastAsia="Arial" w:hAnsi="Arial"/>
          <w:color w:val="0F172A"/>
          <w:sz w:val="22"/>
          <w:szCs w:val="22"/>
        </w:rPr>
        <w:t xml:space="preserve">Repayment outcome data populating ML model within 30 days of each event</w:t>
      </w:r>
    </w:p>
    <w:p>
      <w:r>
        <w:br w:type="page"/>
      </w:r>
    </w:p>
    <w:p>
      <w:pPr>
        <w:pStyle w:val="Heading1"/>
        <w:spacing w:after="200" w:before="480"/>
      </w:pPr>
      <w:r>
        <w:rPr>
          <w:rFonts w:ascii="Arial" w:cs="Arial" w:eastAsia="Arial" w:hAnsi="Arial"/>
          <w:b/>
          <w:bCs/>
          <w:color w:val="0F172A"/>
          <w:sz w:val="36"/>
          <w:szCs w:val="36"/>
        </w:rPr>
        <w:t xml:space="preserve">Master Implementation Timeline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500"/>
        <w:gridCol w:w="860"/>
      </w:tblGrid>
      <w:tr>
        <w:tc>
          <w:tcPr>
            <w:tcW w:type="dxa" w:w="1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Month</w:t>
            </w:r>
          </w:p>
        </w:tc>
        <w:tc>
          <w:tcPr>
            <w:tcW w:type="dxa" w:w="4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Build</w:t>
            </w:r>
          </w:p>
        </w:tc>
        <w:tc>
          <w:tcPr>
            <w:tcW w:type="dxa" w:w="25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Launch gate</w:t>
            </w:r>
          </w:p>
        </w:tc>
        <w:tc>
          <w:tcPr>
            <w:tcW w:type="dxa" w:w="8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Target score</w:t>
            </w:r>
          </w:p>
        </w:tc>
      </w:tr>
      <w:tr>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Pre-launch</w:t>
            </w:r>
          </w:p>
        </w:tc>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Industry risk weights · Business age weighting · Fraud gate (Sardine) · APR calculator · KFS template · Adverse action notice process · CIBIL registration · Loan loss reserve accounting · Collections cascade (all 4 stages) · Hardship program · Lender partner agreements</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No credit product until all items complete</w:t>
            </w:r>
          </w:p>
        </w:tc>
        <w:tc>
          <w:tcPr>
            <w:tcW w:type="dxa" w:w="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All critical domains: 70+</w:t>
            </w:r>
          </w:p>
        </w:tc>
      </w:tr>
      <w:tr>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 1-2</w:t>
            </w:r>
          </w:p>
        </w:tc>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Three-option offer design · Predictive offer timing (45-day trigger) · Behavioral signal logging · Repayment floor/ceiling · Loan servicing state machine · Portfolio concentration monitoring</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First loans disbursed</w:t>
            </w:r>
          </w:p>
        </w:tc>
        <w:tc>
          <w:tcPr>
            <w:tcW w:type="dxa" w:w="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Offer design: 75 / Repayment: 80</w:t>
            </w:r>
          </w:p>
        </w:tc>
      </w:tr>
      <w:tr>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 3-4</w:t>
            </w:r>
          </w:p>
        </w:tc>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Customer concentration check · Macro signal integration · Micro-loan tier · Credit-building secured product · Loyalty discount system · Early warning portfolio dashboard</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Expand to 50 active loans</w:t>
            </w:r>
          </w:p>
        </w:tc>
        <w:tc>
          <w:tcPr>
            <w:tcW w:type="dxa" w:w="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Underwriting: 75 / Portfolio: 75</w:t>
            </w:r>
          </w:p>
        </w:tc>
      </w:tr>
      <w:tr>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 5-6</w:t>
            </w:r>
          </w:p>
        </w:tc>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B2B BNPL pilot · Revenue-triggered repayment · ML data export and first model training · Early repayment benefit system</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First BNPL transaction</w:t>
            </w:r>
          </w:p>
        </w:tc>
        <w:tc>
          <w:tcPr>
            <w:tcW w:type="dxa" w:w="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Algorithm: 60 / Products: 65</w:t>
            </w:r>
          </w:p>
        </w:tc>
      </w:tr>
      <w:tr>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 7-9</w:t>
            </w:r>
          </w:p>
        </w:tc>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ML model shadow mode · Model performance monitoring · Equipment financing partner · Fair lending quarterly audit · State-level geo-fencing</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ML model live in shadow</w:t>
            </w:r>
          </w:p>
        </w:tc>
        <w:tc>
          <w:tcPr>
            <w:tcW w:type="dxa" w:w="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Algorithm: 75 / Compliance: 85</w:t>
            </w:r>
          </w:p>
        </w:tc>
      </w:tr>
      <w:tr>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Month 10-12</w:t>
            </w:r>
          </w:p>
        </w:tc>
        <w:tc>
          <w:tcPr>
            <w:tcW w:type="dxa" w:w="4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ML model primary deployment · Trade credit insurance · Cohort analysis framework · Full product suite live</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Full product suite</w:t>
            </w:r>
          </w:p>
        </w:tc>
        <w:tc>
          <w:tcPr>
            <w:tcW w:type="dxa" w:w="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All domains: 80+</w:t>
            </w:r>
          </w:p>
        </w:tc>
      </w:tr>
    </w:tbl>
    <w:p>
      <w:pPr>
        <w:spacing w:after="80"/>
      </w:pPr>
      <w:r>
        <w:t xml:space="preserve"/>
      </w:r>
    </w:p>
    <w:p>
      <w:pPr>
        <w:pStyle w:val="Heading2"/>
        <w:pBdr>
          <w:bottom w:val="single" w:color="1D4ED8" w:sz="6" w:space="4"/>
        </w:pBdr>
        <w:spacing w:after="160" w:before="320"/>
      </w:pPr>
      <w:r>
        <w:rPr>
          <w:rFonts w:ascii="Arial" w:cs="Arial" w:eastAsia="Arial" w:hAnsi="Arial"/>
          <w:b/>
          <w:bCs/>
          <w:color w:val="1D4ED8"/>
          <w:sz w:val="28"/>
          <w:szCs w:val="28"/>
        </w:rPr>
        <w:t xml:space="preserve">Budget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Cost item</w:t>
            </w:r>
          </w:p>
        </w:tc>
        <w:tc>
          <w:tcPr>
            <w:tcW w:type="dxa" w:w="18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Monthly</w:t>
            </w:r>
          </w:p>
        </w:tc>
        <w:tc>
          <w:tcPr>
            <w:tcW w:type="dxa" w:w="18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One-time</w:t>
            </w:r>
          </w:p>
        </w:tc>
        <w:tc>
          <w:tcPr>
            <w:tcW w:type="dxa" w:w="27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0F172A"/>
                <w:sz w:val="20"/>
                <w:szCs w:val="20"/>
              </w:rPr>
              <w:t xml:space="preserve">Notes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Sardine fraud API</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35,000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0</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0.50 per application at 70K apps/mo</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CIBIL reporting registration</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2,00,000</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One-time setup fee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Fintech legal counsel</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80,000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3,00,000</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Retainer + initial compliance setup</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Collections agency partner</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0-2% of recovered amount</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0</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Only paid on successful recovery</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CIBIL bureau reports (monitoring)</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50,000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0</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For post-disbursal monitoring</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ML infrastructure (AWS SageMaker)</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25,000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0</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Model training + serving</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Hardship specialist (salary)</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60,000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Rs 0</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First dedicated collections hire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120"/>
              <w:left w:type="dxa" w:w="200"/>
              <w:bottom w:type="dxa" w:w="120"/>
              <w:right w:type="dxa" w:w="120"/>
            </w:tcMar>
          </w:tcPr>
          <w:p>
            <w:r>
              <w:rPr>
                <w:rFonts w:ascii="Arial" w:cs="Arial" w:eastAsia="Arial" w:hAnsi="Arial"/>
                <w:color w:val="0F172A"/>
                <w:sz w:val="22"/>
                <w:szCs w:val="22"/>
              </w:rPr>
              <w:t xml:space="preserve">Total pre-launch compliance and credit infrastructure cost: approximately Rs 5-8 lakh one-time + Rs 2.5 lakh per month ongoing. This is the real cost of doing credit responsibly. Budget it before you earn your first referral fee.</w:t>
            </w:r>
          </w:p>
        </w:tc>
      </w:tr>
    </w:tbl>
    <w:p>
      <w:r>
        <w:br w:type="page"/>
      </w:r>
    </w:p>
    <w:p>
      <w:pPr>
        <w:pStyle w:val="Heading1"/>
        <w:spacing w:after="200" w:before="480"/>
      </w:pPr>
      <w:r>
        <w:rPr>
          <w:rFonts w:ascii="Arial" w:cs="Arial" w:eastAsia="Arial" w:hAnsi="Arial"/>
          <w:b/>
          <w:bCs/>
          <w:color w:val="0F172A"/>
          <w:sz w:val="36"/>
          <w:szCs w:val="36"/>
        </w:rPr>
        <w:t xml:space="preserve">Closing Directive</w:t>
      </w:r>
    </w:p>
    <w:p>
      <w:pPr>
        <w:spacing w:after="80"/>
      </w:pPr>
      <w:r>
        <w:t xml:space="preserve"/>
      </w:r>
    </w:p>
    <w:p>
      <w:pPr>
        <w:spacing w:after="80" w:before="60"/>
      </w:pPr>
      <w:r>
        <w:rPr>
          <w:rFonts w:ascii="Arial" w:cs="Arial" w:eastAsia="Arial" w:hAnsi="Arial"/>
          <w:color w:val="0F172A"/>
          <w:sz w:val="22"/>
          <w:szCs w:val="22"/>
        </w:rPr>
        <w:t xml:space="preserve">The credit engine as originally designed had a good instinct — using live cash flow data for underwriting — surrounded by gaps that would cause defaults, legal violations, and reputational damage within the first 12 months. This implementation plan closes every identified gap with specific, actionable steps.</w:t>
      </w:r>
    </w:p>
    <w:p>
      <w:pPr>
        <w:spacing w:after="80"/>
      </w:pPr>
      <w:r>
        <w:t xml:space="preserve"/>
      </w:r>
    </w:p>
    <w:p>
      <w:pPr>
        <w:spacing w:after="80" w:before="60"/>
      </w:pPr>
      <w:r>
        <w:rPr>
          <w:rFonts w:ascii="Arial" w:cs="Arial" w:eastAsia="Arial" w:hAnsi="Arial"/>
          <w:color w:val="0F172A"/>
          <w:sz w:val="22"/>
          <w:szCs w:val="22"/>
        </w:rPr>
        <w:t xml:space="preserve">Three things to hold onto as you build:</w:t>
      </w:r>
    </w:p>
    <w:p>
      <w:pPr>
        <w:spacing w:after="80"/>
      </w:pPr>
      <w:r>
        <w:t xml:space="preserve"/>
      </w:r>
    </w:p>
    <w:p>
      <w:pPr>
        <w:pStyle w:val="ListParagraph"/>
        <w:numPr>
          <w:ilvl w:val="0"/>
          <w:numId w:val="3"/>
        </w:numPr>
        <w:spacing w:after="50" w:before="50"/>
      </w:pPr>
      <w:r>
        <w:rPr>
          <w:rFonts w:ascii="Arial" w:cs="Arial" w:eastAsia="Arial" w:hAnsi="Arial"/>
          <w:color w:val="0F172A"/>
          <w:sz w:val="22"/>
          <w:szCs w:val="22"/>
        </w:rPr>
        <w:t xml:space="preserve">Collections is not an afterthought. It is half of lending. Every hour you spend on the origination experience should be matched by an hour on what happens when things go wrong.</w:t>
      </w:r>
    </w:p>
    <w:p>
      <w:pPr>
        <w:pStyle w:val="ListParagraph"/>
        <w:numPr>
          <w:ilvl w:val="0"/>
          <w:numId w:val="3"/>
        </w:numPr>
        <w:spacing w:after="50" w:before="50"/>
      </w:pPr>
      <w:r>
        <w:rPr>
          <w:rFonts w:ascii="Arial" w:cs="Arial" w:eastAsia="Arial" w:hAnsi="Arial"/>
          <w:color w:val="0F172A"/>
          <w:sz w:val="22"/>
          <w:szCs w:val="22"/>
        </w:rPr>
        <w:t xml:space="preserve">Compliance is cheaper before launch than after. A Rs 3 lakh legal bill today is cheaper than a Rs 30 lakh fine and a platform shutdown in 18 months.</w:t>
      </w:r>
    </w:p>
    <w:p>
      <w:pPr>
        <w:pStyle w:val="ListParagraph"/>
        <w:numPr>
          <w:ilvl w:val="0"/>
          <w:numId w:val="3"/>
        </w:numPr>
        <w:spacing w:after="50" w:before="50"/>
      </w:pPr>
      <w:r>
        <w:rPr>
          <w:rFonts w:ascii="Arial" w:cs="Arial" w:eastAsia="Arial" w:hAnsi="Arial"/>
          <w:color w:val="0F172A"/>
          <w:sz w:val="22"/>
          <w:szCs w:val="22"/>
        </w:rPr>
        <w:t xml:space="preserve">Your underwriting data compound. Every loan outcome makes your next underwriting decision better. The platform that has been running for 24 months will make dramatically better decisions than the one that has been running for 6 months. Time in market matters — get started with the minimum viable compliant credit product, not the perfect one.</w:t>
      </w:r>
    </w:p>
    <w:p>
      <w:pPr>
        <w:spacing w:after="160"/>
      </w:pPr>
      <w:r>
        <w:t xml:space="preserve"/>
      </w:r>
    </w:p>
    <w:p>
      <w:pPr>
        <w:spacing w:before="400"/>
        <w:jc w:val="center"/>
      </w:pPr>
      <w:r>
        <w:rPr>
          <w:rFonts w:ascii="Arial" w:cs="Arial" w:eastAsia="Arial" w:hAnsi="Arial"/>
          <w:b/>
          <w:bCs/>
          <w:color w:val="1D4ED8"/>
          <w:sz w:val="24"/>
          <w:szCs w:val="24"/>
        </w:rPr>
        <w:t xml:space="preserve">FlowOS Credit Engine — Build it right or do not build it at 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120"/>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4"/>
      </w:pBdr>
      <w:spacing w:after="120"/>
    </w:pPr>
    <w:r>
      <w:rPr>
        <w:rFonts w:ascii="Arial" w:cs="Arial" w:eastAsia="Arial" w:hAnsi="Arial"/>
        <w:color w:val="64748B"/>
        <w:sz w:val="18"/>
        <w:szCs w:val="18"/>
      </w:rPr>
      <w:t xml:space="preserve">FlowOS — Credit Engine Implementation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D4ED8"/>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2026-04-09T08:16:54.809Z</dcterms:created>
  <dcterms:modified xsi:type="dcterms:W3CDTF">2026-04-09T08:16:54.810Z</dcterms:modified>
</cp:coreProperties>
</file>

<file path=docProps/custom.xml><?xml version="1.0" encoding="utf-8"?>
<Properties xmlns="http://schemas.openxmlformats.org/officeDocument/2006/custom-properties" xmlns:vt="http://schemas.openxmlformats.org/officeDocument/2006/docPropsVTypes"/>
</file>