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Collection and Preprocessing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Times New Roman" w:eastAsia="Times New Roman" w:hAnsi="Arial"/>
                <w:b/>
                <w:sz w:val="18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01 August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Times New Roman" w:eastAsia="Times New Roman" w:hAnsi="Arial"/>
                <w:b/>
                <w:sz w:val="18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Times New Roman" w:eastAsia="Times New Roman" w:hAnsi="Arial"/>
                <w:b/>
                <w:sz w:val="18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AI Adoption and Impact in Global Education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Times New Roman" w:eastAsia="Times New Roman" w:hAnsi="Arial"/>
                <w:b/>
                <w:sz w:val="18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3 Marks</w:t>
            </w:r>
          </w:p>
        </w:tc>
      </w:tr>
    </w:tbl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Quality Report Template</w:t>
      </w:r>
    </w:p>
    <w:p w:rsidR="00000000" w:rsidDel="00000000" w:rsidP="00000000" w:rsidRDefault="00000000" w:rsidRPr="00000000" w14:paraId="0000000E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 Quality Report Template will summarize data quality issues from the selected source, including severity levels and resolution plans. It will aid in systematically identifying and rectifying data discrepancies.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3420"/>
        <w:gridCol w:w="1185"/>
        <w:gridCol w:w="3450"/>
        <w:tblGridChange w:id="0">
          <w:tblGrid>
            <w:gridCol w:w="1320"/>
            <w:gridCol w:w="3420"/>
            <w:gridCol w:w="1185"/>
            <w:gridCol w:w="345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>
            <w:r>
              <w:t>Data 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>
            <w:r>
              <w:t>Data Quality Issue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>
            <w:r>
              <w:t>Severity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>
            <w:r>
              <w:t>Resolution Plan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Dataset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Missing values may be present in fields such as AI usage, adoption rates, internet penetration, education index, or policy indicators.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Moderate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Profile null values using pandas/Tableau. For numerical fields, use an appropriate imputation method only when justified; otherwise retain nulls or exclude affected records from calculations. Document the treatment used.</w:t>
            </w:r>
          </w:p>
        </w:tc>
      </w:tr>
      <w:tr>
        <w:trPr>
          <w:cantSplit w:val="0"/>
          <w:trHeight w:val="6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Dataset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Duplicate records may cause the same country, demographic group, or observation to be counted more than once.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Moderate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Identify exact duplicates using duplicate-row checks and remove confirmed duplicate records. Validate key fields before removing non-identical records.</w:t>
            </w:r>
          </w:p>
        </w:tc>
      </w:tr>
      <w:tr>
        <w:tc>
          <w:tcPr>
            <w:tcW w:type="dxa" w:w="1320"/>
            <w:vAlign w:val="center"/>
          </w:tcPr>
          <w:p>
            <w:r>
              <w:rPr>
                <w:rFonts w:ascii="Arial" w:hAnsi="Arial"/>
                <w:sz w:val="16"/>
              </w:rPr>
              <w:t>Dataset</w:t>
            </w:r>
          </w:p>
        </w:tc>
        <w:tc>
          <w:tcPr>
            <w:tcW w:type="dxa" w:w="3420"/>
            <w:vAlign w:val="center"/>
          </w:tcPr>
          <w:p>
            <w:r>
              <w:rPr>
                <w:rFonts w:ascii="Arial" w:hAnsi="Arial"/>
                <w:sz w:val="16"/>
              </w:rPr>
              <w:t>Inconsistent categorical values may occur in country, region, demographic, or AI tool names because of spelling, capitalization, or formatting differences.</w:t>
            </w:r>
          </w:p>
        </w:tc>
        <w:tc>
          <w:tcPr>
            <w:tcW w:type="dxa" w:w="1185"/>
            <w:vAlign w:val="center"/>
          </w:tcPr>
          <w:p>
            <w:r>
              <w:rPr>
                <w:rFonts w:ascii="Arial" w:hAnsi="Arial"/>
                <w:sz w:val="16"/>
              </w:rPr>
              <w:t>Moderate</w:t>
            </w:r>
          </w:p>
        </w:tc>
        <w:tc>
          <w:tcPr>
            <w:tcW w:type="dxa" w:w="3450"/>
            <w:vAlign w:val="center"/>
          </w:tcPr>
          <w:p>
            <w:r>
              <w:rPr>
                <w:rFonts w:ascii="Arial" w:hAnsi="Arial"/>
                <w:sz w:val="16"/>
              </w:rPr>
              <w:t>Standardize categorical values using mapping/dictionary rules. Trim whitespace, normalize capitalization, and map equivalent labels to a single standardized value.</w:t>
            </w:r>
          </w:p>
        </w:tc>
      </w:tr>
      <w:tr>
        <w:tc>
          <w:tcPr>
            <w:tcW w:type="dxa" w:w="1320"/>
            <w:vAlign w:val="center"/>
          </w:tcPr>
          <w:p>
            <w:r>
              <w:rPr>
                <w:rFonts w:ascii="Arial" w:hAnsi="Arial"/>
                <w:sz w:val="16"/>
              </w:rPr>
              <w:t>Dataset</w:t>
            </w:r>
          </w:p>
        </w:tc>
        <w:tc>
          <w:tcPr>
            <w:tcW w:type="dxa" w:w="3420"/>
            <w:vAlign w:val="center"/>
          </w:tcPr>
          <w:p>
            <w:r>
              <w:rPr>
                <w:rFonts w:ascii="Arial" w:hAnsi="Arial"/>
                <w:sz w:val="16"/>
              </w:rPr>
              <w:t>Numeric fields may contain incorrect formats or non-numeric characters, which can prevent accurate calculations and visualizations.</w:t>
            </w:r>
          </w:p>
        </w:tc>
        <w:tc>
          <w:tcPr>
            <w:tcW w:type="dxa" w:w="1185"/>
            <w:vAlign w:val="center"/>
          </w:tcPr>
          <w:p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3450"/>
            <w:vAlign w:val="center"/>
          </w:tcPr>
          <w:p>
            <w:r>
              <w:rPr>
                <w:rFonts w:ascii="Arial" w:hAnsi="Arial"/>
                <w:sz w:val="16"/>
              </w:rPr>
              <w:t>Convert relevant fields to numeric data types after removing valid formatting characters. Flag values that cannot be converted and investigate them before analysis.</w:t>
            </w:r>
          </w:p>
        </w:tc>
      </w:tr>
      <w:tr>
        <w:tc>
          <w:tcPr>
            <w:tcW w:type="dxa" w:w="1320"/>
            <w:vAlign w:val="center"/>
          </w:tcPr>
          <w:p>
            <w:r>
              <w:rPr>
                <w:rFonts w:ascii="Arial" w:hAnsi="Arial"/>
                <w:sz w:val="16"/>
              </w:rPr>
              <w:t>Dataset</w:t>
            </w:r>
          </w:p>
        </w:tc>
        <w:tc>
          <w:tcPr>
            <w:tcW w:type="dxa" w:w="3420"/>
            <w:vAlign w:val="center"/>
          </w:tcPr>
          <w:p>
            <w:r>
              <w:rPr>
                <w:rFonts w:ascii="Arial" w:hAnsi="Arial"/>
                <w:sz w:val="16"/>
              </w:rPr>
              <w:t>Potential outliers or unrealistic values may occur in adoption percentages, daily usage time, internet penetration, or index values.</w:t>
            </w:r>
          </w:p>
        </w:tc>
        <w:tc>
          <w:tcPr>
            <w:tcW w:type="dxa" w:w="1185"/>
            <w:vAlign w:val="center"/>
          </w:tcPr>
          <w:p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3450"/>
            <w:vAlign w:val="center"/>
          </w:tcPr>
          <w:p>
            <w:r>
              <w:rPr>
                <w:rFonts w:ascii="Arial" w:hAnsi="Arial"/>
                <w:sz w:val="16"/>
              </w:rPr>
              <w:t>Apply range checks and descriptive statistics to identify suspicious values. Verify against the source where possible and correct confirmed errors; do not remove legitimate extreme observations without justification.</w:t>
            </w:r>
          </w:p>
        </w:tc>
      </w:tr>
      <w:tr>
        <w:tc>
          <w:tcPr>
            <w:tcW w:type="dxa" w:w="1320"/>
            <w:vAlign w:val="center"/>
          </w:tcPr>
          <w:p>
            <w:r>
              <w:rPr>
                <w:rFonts w:ascii="Arial" w:hAnsi="Arial"/>
                <w:sz w:val="16"/>
              </w:rPr>
              <w:t>Dataset</w:t>
            </w:r>
          </w:p>
        </w:tc>
        <w:tc>
          <w:tcPr>
            <w:tcW w:type="dxa" w:w="3420"/>
            <w:vAlign w:val="center"/>
          </w:tcPr>
          <w:p>
            <w:r>
              <w:rPr>
                <w:rFonts w:ascii="Arial" w:hAnsi="Arial"/>
                <w:sz w:val="16"/>
              </w:rPr>
              <w:t>Country and region information may not follow a consistent geographic classification, which can affect regional comparisons.</w:t>
            </w:r>
          </w:p>
        </w:tc>
        <w:tc>
          <w:tcPr>
            <w:tcW w:type="dxa" w:w="1185"/>
            <w:vAlign w:val="center"/>
          </w:tcPr>
          <w:p>
            <w:r>
              <w:rPr>
                <w:rFonts w:ascii="Arial" w:hAnsi="Arial"/>
                <w:sz w:val="16"/>
              </w:rPr>
              <w:t>Low</w:t>
            </w:r>
          </w:p>
        </w:tc>
        <w:tc>
          <w:tcPr>
            <w:tcW w:type="dxa" w:w="3450"/>
            <w:vAlign w:val="center"/>
          </w:tcPr>
          <w:p>
            <w:r>
              <w:rPr>
                <w:rFonts w:ascii="Arial" w:hAnsi="Arial"/>
                <w:sz w:val="16"/>
              </w:rPr>
              <w:t>Create a standardized country-to-region mapping and validate that each country belongs to the intended region before building geographic and regional visualizations.</w:t>
            </w:r>
          </w:p>
        </w:tc>
      </w:tr>
    </w:tbl>
    <w:p w:rsidR="00000000" w:rsidDel="00000000" w:rsidP="00000000" w:rsidRDefault="00000000" w:rsidRPr="00000000" w14:paraId="0000001B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>
      <w:pPr>
        <w:spacing w:before="100"/>
      </w:pPr>
      <w:r>
        <w:rPr>
          <w:i/>
          <w:sz w:val="16"/>
        </w:rPr>
        <w:t>Note: The report identifies the main data-quality checks and resolution plans for the project dataset. Exact counts of missing values, duplicates, and outliers should be updated after the final dataset is inspected.</w:t>
      </w:r>
    </w:p>
    <w:sectPr>
      <w:headerReference r:id="rId7" w:type="default"/>
      <w:pgSz w:h="15840" w:w="12240" w:orient="portrait"/>
      <w:pgMar w:bottom="792" w:top="792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jc w:val="both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57150</wp:posOffset>
          </wp:positionH>
          <wp:positionV relativeFrom="page">
            <wp:posOffset>9525</wp:posOffset>
          </wp:positionV>
          <wp:extent cx="1376363" cy="58987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sz w:val="18"/>
    </w:rPr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Vm5huXYben68FrFXgcVtGPVvtg==">CgMxLjA4AHIhMTFURjN2LUVRMUxsSU9FdmhBZHFseEFoZFZqUjFCbGMw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2024-10-16T06:08:00Z</dcterms:created>
</cp:coreProperties>
</file>